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39F7B4">
      <w:pPr>
        <w:spacing w:line="360" w:lineRule="auto"/>
        <w:rPr>
          <w:rFonts w:ascii="Arial" w:hAnsi="Arial" w:cs="Arial"/>
          <w:b/>
          <w:bCs/>
          <w:sz w:val="24"/>
        </w:rPr>
      </w:pPr>
      <w:r>
        <w:rPr>
          <w:rFonts w:ascii="Arial" w:hAnsi="Times New Roman" w:eastAsia="Times New Roman" w:cs="Times New Roman"/>
          <w:b/>
          <w:bCs/>
          <w:sz w:val="24"/>
        </w:rPr>
        <w:t>Awakening the Forgotten: A Documentary Animation of Local Myths in Chongqing Mountain Communities as Participatory Archaeology</w:t>
      </w:r>
    </w:p>
    <w:p w14:paraId="13E09D71">
      <w:pPr>
        <w:spacing w:line="360" w:lineRule="auto"/>
        <w:rPr>
          <w:rFonts w:ascii="Arial" w:hAnsi="Arial" w:cs="Arial"/>
          <w:sz w:val="24"/>
        </w:rPr>
      </w:pPr>
    </w:p>
    <w:p w14:paraId="2B04C4DB">
      <w:pPr>
        <w:jc w:val="left"/>
        <w:rPr>
          <w:rFonts w:ascii="Arial" w:hAnsi="Arial" w:cs="Arial"/>
          <w:sz w:val="24"/>
        </w:rPr>
      </w:pPr>
      <w:r>
        <w:rPr>
          <w:rFonts w:ascii="Arial" w:hAnsi="Times New Roman" w:eastAsia="Times New Roman" w:cs="Times New Roman"/>
          <w:sz w:val="24"/>
        </w:rPr>
        <w:t>1. Statement of Purpose (20%)</w:t>
      </w:r>
    </w:p>
    <w:p w14:paraId="69677285">
      <w:pPr>
        <w:jc w:val="left"/>
        <w:rPr>
          <w:rFonts w:ascii="Arial" w:hAnsi="Times New Roman" w:eastAsia="Times New Roman" w:cs="Times New Roman"/>
          <w:sz w:val="24"/>
          <w:shd w:val="clear" w:color="auto" w:fill="FFFFFF"/>
        </w:rPr>
      </w:pPr>
      <w:r>
        <w:rPr>
          <w:rFonts w:hint="eastAsia" w:ascii="Arial" w:hAnsi="Times New Roman" w:eastAsia="Times New Roman" w:cs="Times New Roman"/>
          <w:sz w:val="24"/>
          <w:shd w:val="clear" w:color="auto" w:fill="FFFFFF"/>
        </w:rPr>
        <w:t>1.1 Chongqing is called the "Mountain city". Chongqing has a mountainous area of 62,000 square kilomet</w:t>
      </w:r>
      <w:r>
        <w:rPr>
          <w:rFonts w:ascii="Arial" w:hAnsi="Times New Roman" w:eastAsia="Times New Roman" w:cs="Times New Roman"/>
          <w:sz w:val="24"/>
          <w:shd w:val="clear" w:color="auto" w:fill="FFFFFF"/>
        </w:rPr>
        <w:t>re</w:t>
      </w:r>
      <w:r>
        <w:rPr>
          <w:rFonts w:hint="eastAsia" w:ascii="Arial" w:hAnsi="Times New Roman" w:eastAsia="Times New Roman" w:cs="Times New Roman"/>
          <w:sz w:val="24"/>
          <w:shd w:val="clear" w:color="auto" w:fill="FFFFFF"/>
        </w:rPr>
        <w:t>s, accounting for about 75 per</w:t>
      </w:r>
      <w:r>
        <w:rPr>
          <w:rFonts w:ascii="Arial" w:hAnsi="Times New Roman" w:eastAsia="Times New Roman" w:cs="Times New Roman"/>
          <w:sz w:val="24"/>
          <w:shd w:val="clear" w:color="auto" w:fill="FFFFFF"/>
        </w:rPr>
        <w:t xml:space="preserve"> </w:t>
      </w:r>
      <w:r>
        <w:rPr>
          <w:rFonts w:hint="eastAsia" w:ascii="Arial" w:hAnsi="Times New Roman" w:eastAsia="Times New Roman" w:cs="Times New Roman"/>
          <w:sz w:val="24"/>
          <w:shd w:val="clear" w:color="auto" w:fill="FFFFFF"/>
        </w:rPr>
        <w:t xml:space="preserve">cent of the city's total area, more than 30 percentage points higher than the national average. In districts and counties such as Pengshui, the mountainous area accounts for more than 99%. The "mountainous area" is thus defined as the </w:t>
      </w:r>
      <w:r>
        <w:rPr>
          <w:rFonts w:ascii="Arial" w:hAnsi="Times New Roman" w:eastAsia="Times New Roman" w:cs="Times New Roman"/>
          <w:sz w:val="24"/>
          <w:shd w:val="clear" w:color="auto" w:fill="FFFFFF"/>
        </w:rPr>
        <w:t>rudimentary</w:t>
      </w:r>
      <w:r>
        <w:rPr>
          <w:rFonts w:hint="eastAsia" w:ascii="Arial" w:hAnsi="Times New Roman" w:eastAsia="Times New Roman" w:cs="Times New Roman"/>
          <w:sz w:val="24"/>
          <w:shd w:val="clear" w:color="auto" w:fill="FFFFFF"/>
        </w:rPr>
        <w:t xml:space="preserve"> urban condition of Chongqing </w:t>
      </w:r>
      <w:r>
        <w:rPr>
          <w:rFonts w:ascii="Arial" w:hAnsi="Times New Roman" w:eastAsia="Times New Roman" w:cs="Times New Roman"/>
          <w:sz w:val="24"/>
          <w:shd w:val="clear" w:color="auto" w:fill="FFFFFF"/>
        </w:rPr>
        <w:t>(Zhou, S.S. 2025).</w:t>
      </w:r>
      <w:r>
        <w:rPr>
          <w:rFonts w:hint="eastAsia" w:ascii="Arial" w:hAnsi="Times New Roman" w:eastAsia="Times New Roman" w:cs="Times New Roman"/>
          <w:sz w:val="24"/>
          <w:shd w:val="clear" w:color="auto" w:fill="FFFFFF"/>
        </w:rPr>
        <w:t xml:space="preserve"> </w:t>
      </w:r>
      <w:r>
        <w:rPr>
          <w:rFonts w:ascii="Arial" w:hAnsi="Times New Roman" w:eastAsia="Times New Roman" w:cs="Times New Roman"/>
          <w:sz w:val="24"/>
          <w:shd w:val="clear" w:color="auto" w:fill="FFFFFF"/>
        </w:rPr>
        <w:t>Consequently, diverse mythological systems rooted in topographical features have emerged, reflecting the deep interconnection between landscape and indigenous belief structures</w:t>
      </w:r>
      <w:r>
        <w:rPr>
          <w:rFonts w:hint="eastAsia" w:ascii="Arial" w:hAnsi="Times New Roman" w:eastAsia="Times New Roman" w:cs="Times New Roman"/>
          <w:sz w:val="24"/>
          <w:shd w:val="clear" w:color="auto" w:fill="FFFFFF"/>
        </w:rPr>
        <w:t xml:space="preserve"> (</w:t>
      </w:r>
      <w:r>
        <w:rPr>
          <w:rFonts w:ascii="Arial" w:hAnsi="Times New Roman" w:eastAsia="Times New Roman" w:cs="Times New Roman"/>
          <w:sz w:val="24"/>
          <w:shd w:val="clear" w:color="auto" w:fill="FFFFFF"/>
        </w:rPr>
        <w:t>Chongqing Academy of Social Sciences. 2023</w:t>
      </w:r>
      <w:r>
        <w:rPr>
          <w:rFonts w:hint="eastAsia" w:ascii="Arial" w:hAnsi="Times New Roman" w:eastAsia="Times New Roman" w:cs="Times New Roman"/>
          <w:sz w:val="24"/>
          <w:shd w:val="clear" w:color="auto" w:fill="FFFFFF"/>
        </w:rPr>
        <w:t xml:space="preserve">, </w:t>
      </w:r>
      <w:r>
        <w:rPr>
          <w:rFonts w:ascii="Arial" w:hAnsi="Times New Roman" w:eastAsia="Times New Roman" w:cs="Times New Roman"/>
          <w:sz w:val="24"/>
          <w:shd w:val="clear" w:color="auto" w:fill="FFFFFF"/>
        </w:rPr>
        <w:t>Li, X. 2025</w:t>
      </w:r>
      <w:r>
        <w:rPr>
          <w:rFonts w:hint="eastAsia" w:ascii="Arial" w:hAnsi="Times New Roman" w:eastAsia="Times New Roman" w:cs="Times New Roman"/>
          <w:sz w:val="24"/>
          <w:shd w:val="clear" w:color="auto" w:fill="FFFFFF"/>
        </w:rPr>
        <w:t xml:space="preserve">, </w:t>
      </w:r>
      <w:r>
        <w:rPr>
          <w:rFonts w:ascii="Arial" w:hAnsi="Times New Roman" w:eastAsia="Times New Roman" w:cs="Times New Roman"/>
          <w:sz w:val="24"/>
          <w:shd w:val="clear" w:color="auto" w:fill="FFFFFF"/>
        </w:rPr>
        <w:t xml:space="preserve">Xiong, D. &amp; Cheng, S. 2004). </w:t>
      </w:r>
      <w:r>
        <w:rPr>
          <w:rFonts w:hint="eastAsia" w:ascii="Arial" w:hAnsi="Times New Roman" w:eastAsia="Times New Roman" w:cs="Times New Roman"/>
          <w:sz w:val="24"/>
          <w:shd w:val="clear" w:color="auto" w:fill="FFFFFF"/>
        </w:rPr>
        <w:t xml:space="preserve">Due to the flow of population to cities and the decline of villages, in some areas, people </w:t>
      </w:r>
      <w:r>
        <w:rPr>
          <w:rFonts w:ascii="Arial" w:hAnsi="Times New Roman" w:eastAsia="Times New Roman" w:cs="Times New Roman"/>
          <w:sz w:val="24"/>
          <w:shd w:val="clear" w:color="auto" w:fill="FFFFFF"/>
        </w:rPr>
        <w:t>aged 60 and above</w:t>
      </w:r>
      <w:r>
        <w:rPr>
          <w:rFonts w:hint="eastAsia" w:ascii="Arial" w:hAnsi="Times New Roman" w:eastAsia="Times New Roman" w:cs="Times New Roman"/>
          <w:sz w:val="24"/>
          <w:shd w:val="clear" w:color="auto" w:fill="FFFFFF"/>
        </w:rPr>
        <w:t xml:space="preserve"> account for </w:t>
      </w:r>
      <w:r>
        <w:rPr>
          <w:rFonts w:ascii="Arial" w:hAnsi="Times New Roman" w:eastAsia="Times New Roman" w:cs="Times New Roman"/>
          <w:sz w:val="24"/>
          <w:shd w:val="clear" w:color="auto" w:fill="FFFFFF"/>
        </w:rPr>
        <w:t>61.3% or more of the permanent resident population</w:t>
      </w:r>
      <w:r>
        <w:rPr>
          <w:rFonts w:ascii="Arial" w:hAnsi="Times New Roman" w:eastAsia="Times New Roman" w:cs="Times New Roman"/>
          <w:sz w:val="24"/>
          <w:shd w:val="clear" w:color="auto" w:fill="FFFFFF"/>
          <w:lang w:val="en-GB"/>
        </w:rPr>
        <w:t xml:space="preserve"> (</w:t>
      </w:r>
      <w:r>
        <w:rPr>
          <w:rFonts w:hint="eastAsia" w:ascii="Arial" w:hAnsi="Times New Roman" w:eastAsia="Times New Roman" w:cs="Times New Roman"/>
          <w:sz w:val="24"/>
          <w:shd w:val="clear" w:color="auto" w:fill="FFFFFF"/>
        </w:rPr>
        <w:t>Tian, F.L.</w:t>
      </w:r>
      <w:r>
        <w:rPr>
          <w:rFonts w:ascii="Arial" w:hAnsi="Times New Roman" w:eastAsia="Times New Roman" w:cs="Times New Roman"/>
          <w:sz w:val="24"/>
          <w:shd w:val="clear" w:color="auto" w:fill="FFFFFF"/>
        </w:rPr>
        <w:t xml:space="preserve"> </w:t>
      </w:r>
      <w:r>
        <w:rPr>
          <w:rFonts w:hint="eastAsia" w:ascii="Arial" w:hAnsi="Times New Roman" w:eastAsia="Times New Roman" w:cs="Times New Roman"/>
          <w:sz w:val="24"/>
          <w:shd w:val="clear" w:color="auto" w:fill="FFFFFF"/>
        </w:rPr>
        <w:t>2025)</w:t>
      </w:r>
      <w:r>
        <w:rPr>
          <w:rFonts w:ascii="Arial" w:hAnsi="Times New Roman" w:eastAsia="Times New Roman" w:cs="Times New Roman"/>
          <w:sz w:val="24"/>
          <w:shd w:val="clear" w:color="auto" w:fill="FFFFFF"/>
        </w:rPr>
        <w:t xml:space="preserve"> These intangible cultural assets, preserved primarily through oral narratives of the elderly and absent from formal archaeological documentation, face imminent extinction within the next decade</w:t>
      </w:r>
      <w:r>
        <w:rPr>
          <w:rFonts w:hint="eastAsia" w:ascii="Arial" w:hAnsi="Times New Roman" w:eastAsia="Times New Roman" w:cs="Times New Roman"/>
          <w:sz w:val="24"/>
          <w:shd w:val="clear" w:color="auto" w:fill="FFFFFF"/>
        </w:rPr>
        <w:t xml:space="preserve">. </w:t>
      </w:r>
      <w:r>
        <w:rPr>
          <w:rFonts w:ascii="Arial" w:hAnsi="Times New Roman" w:eastAsia="Times New Roman" w:cs="Times New Roman"/>
          <w:sz w:val="24"/>
          <w:shd w:val="clear" w:color="auto" w:fill="FFFFFF"/>
        </w:rPr>
        <w:t>Existing research on Chongqing’s traditional villages tends to concentrate on isolated case studies and spatial typologies, overlooking dynamic relationships across spatial and temporal scales—from local to regional, material to symbolic</w:t>
      </w:r>
      <w:r>
        <w:rPr>
          <w:rFonts w:hint="eastAsia" w:ascii="Arial" w:hAnsi="Times New Roman" w:eastAsia="Times New Roman" w:cs="Times New Roman"/>
          <w:sz w:val="24"/>
          <w:shd w:val="clear" w:color="auto" w:fill="FFFFFF"/>
        </w:rPr>
        <w:t xml:space="preserve"> (</w:t>
      </w:r>
      <w:r>
        <w:rPr>
          <w:rFonts w:ascii="Arial" w:hAnsi="Times New Roman" w:eastAsia="Times New Roman" w:cs="Times New Roman"/>
          <w:sz w:val="24"/>
          <w:shd w:val="clear" w:color="auto" w:fill="FFFFFF"/>
        </w:rPr>
        <w:t>Song, Z.J. 2022</w:t>
      </w:r>
      <w:r>
        <w:rPr>
          <w:rFonts w:hint="eastAsia" w:ascii="Arial" w:hAnsi="Times New Roman" w:eastAsia="Times New Roman" w:cs="Times New Roman"/>
          <w:sz w:val="24"/>
          <w:shd w:val="clear" w:color="auto" w:fill="FFFFFF"/>
        </w:rPr>
        <w:t>)</w:t>
      </w:r>
      <w:r>
        <w:rPr>
          <w:rFonts w:ascii="Arial" w:hAnsi="Times New Roman" w:eastAsia="Times New Roman" w:cs="Times New Roman"/>
          <w:sz w:val="24"/>
          <w:shd w:val="clear" w:color="auto" w:fill="FFFFFF"/>
        </w:rPr>
        <w:t>.</w:t>
      </w:r>
      <w:r>
        <w:rPr>
          <w:rFonts w:hint="eastAsia" w:ascii="Arial" w:hAnsi="Times New Roman" w:eastAsia="Times New Roman" w:cs="Times New Roman"/>
          <w:sz w:val="24"/>
          <w:shd w:val="clear" w:color="auto" w:fill="FFFFFF"/>
        </w:rPr>
        <w:t xml:space="preserve"> There is a focus on centrali</w:t>
      </w:r>
      <w:r>
        <w:rPr>
          <w:rFonts w:ascii="Arial" w:hAnsi="Times New Roman" w:eastAsia="Times New Roman" w:cs="Times New Roman"/>
          <w:sz w:val="24"/>
          <w:shd w:val="clear" w:color="auto" w:fill="FFFFFF"/>
        </w:rPr>
        <w:t>s</w:t>
      </w:r>
      <w:r>
        <w:rPr>
          <w:rFonts w:hint="eastAsia" w:ascii="Arial" w:hAnsi="Times New Roman" w:eastAsia="Times New Roman" w:cs="Times New Roman"/>
          <w:sz w:val="24"/>
          <w:shd w:val="clear" w:color="auto" w:fill="FFFFFF"/>
        </w:rPr>
        <w:t>ed narrative and a lack of participatory animation as rituals/records; In its mainstream heritage practice, it focuses on material preservation and textual documentation, excluding visual narrative.</w:t>
      </w:r>
    </w:p>
    <w:p w14:paraId="40A1530D">
      <w:pPr>
        <w:jc w:val="left"/>
        <w:rPr>
          <w:rFonts w:ascii="Arial" w:hAnsi="Times New Roman" w:eastAsia="Times New Roman" w:cs="Times New Roman"/>
          <w:sz w:val="24"/>
          <w:shd w:val="clear" w:color="auto" w:fill="FFFFFF"/>
        </w:rPr>
      </w:pPr>
    </w:p>
    <w:p w14:paraId="07FBE16F">
      <w:pPr>
        <w:widowControl/>
        <w:jc w:val="left"/>
        <w:rPr>
          <w:rFonts w:ascii="Arial" w:hAnsi="Times New Roman" w:eastAsia="Times New Roman" w:cs="Times New Roman"/>
          <w:sz w:val="24"/>
          <w:shd w:val="clear" w:color="auto" w:fill="FFFFFF"/>
        </w:rPr>
      </w:pPr>
      <w:r>
        <w:rPr>
          <w:rFonts w:hint="eastAsia" w:ascii="Arial" w:hAnsi="Times New Roman" w:eastAsia="Times New Roman" w:cs="Times New Roman"/>
          <w:sz w:val="24"/>
          <w:shd w:val="clear" w:color="auto" w:fill="FFFFFF"/>
        </w:rPr>
        <w:t xml:space="preserve">1.2 </w:t>
      </w:r>
      <w:r>
        <w:rPr>
          <w:rFonts w:ascii="Arial" w:hAnsi="Times New Roman" w:eastAsia="Times New Roman" w:cs="Times New Roman"/>
          <w:sz w:val="24"/>
          <w:shd w:val="clear" w:color="auto" w:fill="FFFFFF"/>
        </w:rPr>
        <w:t xml:space="preserve">This study responds to the marginalisation and erosion of terrain-specific Indigenous mythologies in Chongqing’s mountainous regions by proposing participatory documentary animation as a culturally embedded method for visual archiving and revitalisation. This </w:t>
      </w:r>
      <w:r>
        <w:rPr>
          <w:rFonts w:hint="eastAsia" w:ascii="Arial" w:hAnsi="Times New Roman" w:eastAsia="Times New Roman" w:cs="Times New Roman"/>
          <w:sz w:val="24"/>
          <w:shd w:val="clear" w:color="auto" w:fill="FFFFFF"/>
        </w:rPr>
        <w:t>participatory documentary animation model is divided into three dimensions: First, I will use animation to organi</w:t>
      </w:r>
      <w:r>
        <w:rPr>
          <w:rFonts w:ascii="Arial" w:hAnsi="Times New Roman" w:eastAsia="Times New Roman" w:cs="Times New Roman"/>
          <w:sz w:val="24"/>
          <w:shd w:val="clear" w:color="auto" w:fill="FFFFFF"/>
        </w:rPr>
        <w:t>s</w:t>
      </w:r>
      <w:r>
        <w:rPr>
          <w:rFonts w:hint="eastAsia" w:ascii="Arial" w:hAnsi="Times New Roman" w:eastAsia="Times New Roman" w:cs="Times New Roman"/>
          <w:sz w:val="24"/>
          <w:shd w:val="clear" w:color="auto" w:fill="FFFFFF"/>
        </w:rPr>
        <w:t xml:space="preserve">e oral history and myths of specific landscapes and invite </w:t>
      </w:r>
      <w:r>
        <w:rPr>
          <w:rFonts w:ascii="Arial" w:hAnsi="Times New Roman" w:eastAsia="Times New Roman" w:cs="Times New Roman"/>
          <w:sz w:val="24"/>
          <w:shd w:val="clear" w:color="auto" w:fill="FFFFFF"/>
        </w:rPr>
        <w:t>I</w:t>
      </w:r>
      <w:r>
        <w:rPr>
          <w:rFonts w:hint="eastAsia" w:ascii="Arial" w:hAnsi="Times New Roman" w:eastAsia="Times New Roman" w:cs="Times New Roman"/>
          <w:sz w:val="24"/>
          <w:shd w:val="clear" w:color="auto" w:fill="FFFFFF"/>
        </w:rPr>
        <w:t xml:space="preserve">ndigenous communities to participate together to form a visual archive of the mythological system. </w:t>
      </w:r>
      <w:r>
        <w:rPr>
          <w:rFonts w:ascii="Arial" w:hAnsi="Times New Roman" w:eastAsia="Times New Roman" w:cs="Times New Roman"/>
          <w:sz w:val="24"/>
          <w:shd w:val="clear" w:color="auto" w:fill="FFFFFF"/>
        </w:rPr>
        <w:t xml:space="preserve">The second dimension of the study probes documentary animation as “post-animation,” employing a cross-media methodology that prioritises the embodiment of knowledge, emotional resonance with Indigenous epistemologies, and the preservation of cultural continuity. Finally, it will explore how this methodological model can be applied to other marginalised communities globally facing similar cultural extinction, such as the </w:t>
      </w:r>
      <w:r>
        <w:rPr>
          <w:rFonts w:hint="eastAsia" w:ascii="Arial" w:hAnsi="Times New Roman" w:eastAsia="Times New Roman" w:cs="Times New Roman"/>
          <w:sz w:val="24"/>
          <w:shd w:val="clear" w:color="auto" w:fill="FFFFFF"/>
        </w:rPr>
        <w:t>North</w:t>
      </w:r>
      <w:r>
        <w:rPr>
          <w:rFonts w:ascii="Arial" w:hAnsi="Times New Roman" w:eastAsia="Times New Roman" w:cs="Times New Roman"/>
          <w:sz w:val="24"/>
          <w:shd w:val="clear" w:color="auto" w:fill="FFFFFF"/>
        </w:rPr>
        <w:t xml:space="preserve"> region in the UK and the Kankincho area in Yamagata Prefecture, Japan. </w:t>
      </w:r>
    </w:p>
    <w:p w14:paraId="65040C47">
      <w:pPr>
        <w:jc w:val="left"/>
        <w:rPr>
          <w:rFonts w:ascii="Arial" w:hAnsi="Times New Roman" w:eastAsia="Times New Roman" w:cs="Times New Roman"/>
          <w:sz w:val="24"/>
          <w:shd w:val="clear" w:color="auto" w:fill="FFFFFF"/>
        </w:rPr>
      </w:pPr>
      <w:r>
        <w:rPr>
          <w:rFonts w:ascii="Arial" w:hAnsi="Times New Roman" w:eastAsia="Times New Roman" w:cs="Times New Roman"/>
          <w:sz w:val="24"/>
          <w:shd w:val="clear" w:color="auto" w:fill="FFFFFF"/>
        </w:rPr>
        <w:t xml:space="preserve">  </w:t>
      </w:r>
    </w:p>
    <w:p w14:paraId="6757FF65">
      <w:pPr>
        <w:jc w:val="left"/>
        <w:rPr>
          <w:rFonts w:ascii="Arial" w:hAnsi="Arial" w:eastAsia="宋体" w:cs="Arial"/>
          <w:sz w:val="24"/>
          <w:shd w:val="clear" w:color="auto" w:fill="FFFFFF"/>
        </w:rPr>
      </w:pPr>
    </w:p>
    <w:p w14:paraId="35EDAC58">
      <w:pPr>
        <w:widowControl/>
        <w:jc w:val="left"/>
        <w:rPr>
          <w:rFonts w:ascii="Arial" w:hAnsi="Times New Roman" w:eastAsia="Times New Roman" w:cs="Times New Roman"/>
          <w:sz w:val="24"/>
          <w:shd w:val="clear" w:color="auto" w:fill="FFFFFF"/>
        </w:rPr>
      </w:pPr>
      <w:r>
        <w:rPr>
          <w:rFonts w:ascii="Arial" w:hAnsi="Times New Roman" w:eastAsia="Times New Roman" w:cs="Times New Roman"/>
          <w:sz w:val="24"/>
          <w:shd w:val="clear" w:color="auto" w:fill="FFFFFF"/>
        </w:rPr>
        <w:t>2. Research questions (5%)</w:t>
      </w:r>
    </w:p>
    <w:p w14:paraId="79F97FF6">
      <w:pPr>
        <w:widowControl/>
        <w:jc w:val="left"/>
        <w:rPr>
          <w:rFonts w:ascii="Arial" w:hAnsi="Times New Roman" w:eastAsia="Times New Roman" w:cs="Times New Roman"/>
          <w:sz w:val="24"/>
          <w:shd w:val="clear" w:color="auto" w:fill="FFFFFF"/>
        </w:rPr>
      </w:pPr>
      <w:r>
        <w:rPr>
          <w:rFonts w:ascii="Arial" w:hAnsi="Times New Roman" w:eastAsia="Times New Roman" w:cs="Times New Roman"/>
          <w:sz w:val="24"/>
          <w:shd w:val="clear" w:color="auto" w:fill="FFFFFF"/>
        </w:rPr>
        <w:t>• How can participatory animation reconstruct and archive terrain-based Indigenous myths that lack visual or textual representation?</w:t>
      </w:r>
    </w:p>
    <w:p w14:paraId="73AEF1F5">
      <w:pPr>
        <w:widowControl/>
        <w:jc w:val="left"/>
        <w:rPr>
          <w:rFonts w:ascii="Arial" w:hAnsi="Times New Roman" w:eastAsia="Times New Roman" w:cs="Times New Roman"/>
          <w:sz w:val="24"/>
          <w:shd w:val="clear" w:color="auto" w:fill="FFFFFF"/>
        </w:rPr>
      </w:pPr>
      <w:r>
        <w:rPr>
          <w:rFonts w:ascii="Arial" w:hAnsi="Times New Roman" w:eastAsia="Times New Roman" w:cs="Times New Roman"/>
          <w:sz w:val="24"/>
          <w:shd w:val="clear" w:color="auto" w:fill="FFFFFF"/>
        </w:rPr>
        <w:t>• What are the ethical, epistemological, and aesthetic implications of involving Indigenous communities in the animated retelling of myth?</w:t>
      </w:r>
    </w:p>
    <w:p w14:paraId="19852BEF">
      <w:pPr>
        <w:widowControl/>
        <w:jc w:val="left"/>
        <w:rPr>
          <w:rFonts w:ascii="Arial" w:hAnsi="Times New Roman" w:eastAsia="Times New Roman" w:cs="Times New Roman"/>
          <w:sz w:val="24"/>
          <w:shd w:val="clear" w:color="auto" w:fill="FFFFFF"/>
        </w:rPr>
      </w:pPr>
      <w:r>
        <w:rPr>
          <w:rFonts w:ascii="Arial" w:hAnsi="Times New Roman" w:eastAsia="Times New Roman" w:cs="Times New Roman"/>
          <w:sz w:val="24"/>
          <w:shd w:val="clear" w:color="auto" w:fill="FFFFFF"/>
        </w:rPr>
        <w:t>• How can this model serve as an alternative archival practice within visual anthropology and heritage science?</w:t>
      </w:r>
    </w:p>
    <w:p w14:paraId="24F320E7">
      <w:pPr>
        <w:widowControl/>
        <w:jc w:val="left"/>
        <w:rPr>
          <w:rFonts w:ascii="Arial" w:hAnsi="Times New Roman" w:eastAsia="Times New Roman" w:cs="Times New Roman"/>
          <w:sz w:val="24"/>
          <w:shd w:val="clear" w:color="auto" w:fill="FFFFFF"/>
        </w:rPr>
      </w:pPr>
      <w:r>
        <w:rPr>
          <w:rFonts w:ascii="Arial" w:hAnsi="Times New Roman" w:eastAsia="Times New Roman" w:cs="Times New Roman"/>
          <w:sz w:val="24"/>
          <w:shd w:val="clear" w:color="auto" w:fill="FFFFFF"/>
        </w:rPr>
        <w:t>• How to design the variables of this model to adapt to other Indigenous cultural scenarios in the world?</w:t>
      </w:r>
    </w:p>
    <w:p w14:paraId="1E4216C9">
      <w:pPr>
        <w:jc w:val="left"/>
        <w:rPr>
          <w:rFonts w:ascii="Arial" w:hAnsi="Arial" w:cs="Arial"/>
          <w:sz w:val="24"/>
          <w:shd w:val="clear" w:color="auto" w:fill="FFFFFF"/>
        </w:rPr>
      </w:pPr>
    </w:p>
    <w:p w14:paraId="6870E0D4">
      <w:pPr>
        <w:numPr>
          <w:ilvl w:val="0"/>
          <w:numId w:val="1"/>
        </w:numPr>
        <w:jc w:val="left"/>
        <w:rPr>
          <w:rFonts w:ascii="Arial" w:hAnsi="Arial" w:cs="Arial"/>
          <w:b/>
          <w:bCs/>
          <w:sz w:val="24"/>
          <w:shd w:val="clear" w:color="auto" w:fill="FFFFFF"/>
        </w:rPr>
      </w:pPr>
      <w:r>
        <w:rPr>
          <w:rFonts w:ascii="Arial" w:hAnsi="Times New Roman" w:cs="Times New Roman"/>
          <w:b/>
          <w:bCs/>
          <w:sz w:val="24"/>
          <w:shd w:val="clear" w:color="auto" w:fill="FFFFFF"/>
        </w:rPr>
        <w:t>Literature Review (35%)</w:t>
      </w:r>
    </w:p>
    <w:p w14:paraId="4D6E0D9D">
      <w:pPr>
        <w:pStyle w:val="7"/>
        <w:widowControl/>
        <w:numPr>
          <w:ilvl w:val="1"/>
          <w:numId w:val="1"/>
        </w:numPr>
        <w:spacing w:beforeAutospacing="0" w:afterAutospacing="0"/>
        <w:rPr>
          <w:rFonts w:ascii="Arial" w:hAnsi="Times New Roman"/>
          <w:shd w:val="clear" w:color="auto" w:fill="FFFFFF"/>
        </w:rPr>
      </w:pPr>
      <w:r>
        <w:rPr>
          <w:rFonts w:hint="eastAsia" w:ascii="Arial" w:hAnsi="Times New Roman" w:eastAsia="Times New Roman"/>
          <w:shd w:val="clear" w:color="auto" w:fill="FFFFFF"/>
        </w:rPr>
        <w:t>Animated documentaries as site-specific revival rituals are rarely targeted for research due to the lack of practical cases. In contrast, scholars are more inclined to discuss the possibility of animation as A documentary</w:t>
      </w:r>
      <w:r>
        <w:rPr>
          <w:rFonts w:ascii="Arial" w:hAnsi="Times New Roman"/>
          <w:shd w:val="clear" w:color="auto" w:fill="FFFFFF"/>
        </w:rPr>
        <w:t xml:space="preserve"> (</w:t>
      </w:r>
      <w:r>
        <w:rPr>
          <w:rFonts w:ascii="Arial" w:hAnsi="Times New Roman" w:eastAsia="Times New Roman"/>
          <w:shd w:val="clear" w:color="auto" w:fill="FFFFFF"/>
        </w:rPr>
        <w:t>Honess Roe, A. 2013</w:t>
      </w:r>
      <w:r>
        <w:rPr>
          <w:rFonts w:ascii="Arial" w:hAnsi="Times New Roman"/>
          <w:shd w:val="clear" w:color="auto" w:fill="FFFFFF"/>
        </w:rPr>
        <w:t>)</w:t>
      </w:r>
      <w:r>
        <w:rPr>
          <w:rFonts w:ascii="Arial" w:hAnsi="Times New Roman" w:eastAsia="Times New Roman"/>
          <w:shd w:val="clear" w:color="auto" w:fill="FFFFFF"/>
        </w:rPr>
        <w:t xml:space="preserve">, </w:t>
      </w:r>
      <w:r>
        <w:rPr>
          <w:rFonts w:hint="eastAsia" w:ascii="Arial" w:hAnsi="Times New Roman" w:eastAsia="Times New Roman"/>
          <w:shd w:val="clear" w:color="auto" w:fill="FFFFFF"/>
        </w:rPr>
        <w:t>or media archaeology of particular cultures</w:t>
      </w:r>
      <w:r>
        <w:rPr>
          <w:rFonts w:ascii="Arial" w:hAnsi="Times New Roman" w:eastAsia="Times New Roman"/>
          <w:shd w:val="clear" w:color="auto" w:fill="FFFFFF"/>
        </w:rPr>
        <w:t xml:space="preserve"> (Nagtegaal, J. 2023</w:t>
      </w:r>
      <w:r>
        <w:rPr>
          <w:rFonts w:ascii="Arial" w:hAnsi="Times New Roman"/>
          <w:shd w:val="clear" w:color="auto" w:fill="FFFFFF"/>
        </w:rPr>
        <w:t>), Analyse the ontological framework (</w:t>
      </w:r>
      <w:r>
        <w:rPr>
          <w:rFonts w:ascii="Arial" w:hAnsi="Times New Roman" w:eastAsia="Times New Roman"/>
          <w:shd w:val="clear" w:color="auto" w:fill="FFFFFF"/>
        </w:rPr>
        <w:t xml:space="preserve">Murray </w:t>
      </w:r>
      <w:r>
        <w:rPr>
          <w:rFonts w:ascii="Arial" w:hAnsi="Times New Roman"/>
        </w:rPr>
        <w:t>et al. 2021</w:t>
      </w:r>
      <w:r>
        <w:rPr>
          <w:rFonts w:ascii="Arial" w:hAnsi="Times New Roman"/>
          <w:shd w:val="clear" w:color="auto" w:fill="FFFFFF"/>
        </w:rPr>
        <w:t>) and developments in the new media reality (</w:t>
      </w:r>
      <w:r>
        <w:rPr>
          <w:rFonts w:ascii="Arial" w:hAnsi="Times New Roman" w:eastAsia="Times New Roman"/>
          <w:shd w:val="clear" w:color="auto" w:fill="FFFFFF"/>
        </w:rPr>
        <w:t xml:space="preserve">Ehrlich, </w:t>
      </w:r>
      <w:r>
        <w:rPr>
          <w:rFonts w:ascii="Arial" w:hAnsi="Times New Roman" w:eastAsia="Times New Roman"/>
          <w:shd w:val="clear" w:color="auto" w:fill="FFFFFF"/>
          <w:lang w:eastAsia="ja-JP"/>
        </w:rPr>
        <w:t>N. 2021</w:t>
      </w:r>
      <w:r>
        <w:rPr>
          <w:rFonts w:ascii="Arial" w:hAnsi="Times New Roman"/>
          <w:shd w:val="clear" w:color="auto" w:fill="FFFFFF"/>
        </w:rPr>
        <w:t>).</w:t>
      </w:r>
    </w:p>
    <w:p w14:paraId="120D2FC2">
      <w:pPr>
        <w:pStyle w:val="7"/>
        <w:widowControl/>
        <w:spacing w:beforeAutospacing="0" w:afterAutospacing="0"/>
        <w:rPr>
          <w:rFonts w:ascii="Arial" w:hAnsi="Times New Roman"/>
          <w:shd w:val="clear" w:color="auto" w:fill="FFFFFF"/>
        </w:rPr>
      </w:pPr>
    </w:p>
    <w:p w14:paraId="1EEDD249">
      <w:pPr>
        <w:numPr>
          <w:ilvl w:val="1"/>
          <w:numId w:val="1"/>
        </w:numPr>
        <w:jc w:val="left"/>
        <w:rPr>
          <w:rFonts w:ascii="Arial" w:hAnsi="Times New Roman" w:eastAsia="Times New Roman" w:cs="Times New Roman"/>
          <w:sz w:val="24"/>
          <w:shd w:val="clear" w:color="auto" w:fill="FFFFFF"/>
        </w:rPr>
      </w:pPr>
      <w:r>
        <w:rPr>
          <w:rFonts w:ascii="Arial" w:hAnsi="Times New Roman" w:eastAsia="Times New Roman" w:cs="Times New Roman"/>
          <w:sz w:val="24"/>
          <w:shd w:val="clear" w:color="auto" w:fill="FFFFFF"/>
          <w:lang w:val="en-GB"/>
        </w:rPr>
        <w:t>Traditional research approaches have contributed to the tendency of animated documentaries in East Asia, Europe, and the United States to adhere to linear narrative structures and cautious, conventional styles, often resulting in mere reiterations of the facts rather than fostering innovative or critical visual inquiry.</w:t>
      </w:r>
      <w:r>
        <w:rPr>
          <w:rFonts w:hint="eastAsia" w:ascii="Arial" w:hAnsi="Times New Roman" w:eastAsia="Times New Roman" w:cs="Times New Roman"/>
          <w:sz w:val="24"/>
          <w:shd w:val="clear" w:color="auto" w:fill="FFFFFF"/>
        </w:rPr>
        <w:t xml:space="preserve"> </w:t>
      </w:r>
      <w:r>
        <w:rPr>
          <w:rFonts w:ascii="Arial" w:hAnsi="Times New Roman" w:eastAsia="Times New Roman" w:cs="Times New Roman"/>
          <w:sz w:val="24"/>
          <w:shd w:val="clear" w:color="auto" w:fill="FFFFFF"/>
        </w:rPr>
        <w:t xml:space="preserve">Regarding animation's </w:t>
      </w:r>
      <w:r>
        <w:rPr>
          <w:rFonts w:hint="eastAsia" w:ascii="Arial" w:hAnsi="Times New Roman" w:eastAsia="Times New Roman" w:cs="Times New Roman"/>
          <w:sz w:val="24"/>
          <w:shd w:val="clear" w:color="auto" w:fill="FFFFFF"/>
        </w:rPr>
        <w:t>representation</w:t>
      </w:r>
      <w:r>
        <w:rPr>
          <w:rFonts w:ascii="Arial" w:hAnsi="Times New Roman" w:eastAsia="Times New Roman" w:cs="Times New Roman"/>
          <w:sz w:val="24"/>
          <w:shd w:val="clear" w:color="auto" w:fill="FFFFFF"/>
        </w:rPr>
        <w:t xml:space="preserve"> of Indigenous cultures, </w:t>
      </w:r>
      <w:r>
        <w:rPr>
          <w:rFonts w:hint="eastAsia" w:ascii="Arial" w:hAnsi="Times New Roman" w:eastAsia="Times New Roman" w:cs="Times New Roman"/>
          <w:sz w:val="24"/>
          <w:shd w:val="clear" w:color="auto" w:fill="FFFFFF"/>
        </w:rPr>
        <w:t>there are only some ethnographic style imitations and "image animation" as an aesthetic tool.</w:t>
      </w:r>
      <w:r>
        <w:rPr>
          <w:rFonts w:ascii="Arial" w:hAnsi="Times New Roman" w:eastAsia="Times New Roman" w:cs="Times New Roman"/>
          <w:sz w:val="24"/>
          <w:shd w:val="clear" w:color="auto" w:fill="FFFFFF"/>
        </w:rPr>
        <w:t xml:space="preserve"> For instance, it has documented, simulated, and abstracted images of shamanic rituals in Kerala, India, Aboriginal Australia, and the Amazonian tribes (Morphy et al. 2006, Pink et al. 2022, Ruby, J. 2000</w:t>
      </w:r>
      <w:r>
        <w:rPr>
          <w:rFonts w:hint="eastAsia" w:ascii="Arial" w:hAnsi="Times New Roman" w:eastAsia="Times New Roman" w:cs="Times New Roman"/>
          <w:sz w:val="24"/>
          <w:shd w:val="clear" w:color="auto" w:fill="FFFFFF"/>
        </w:rPr>
        <w:t>).</w:t>
      </w:r>
      <w:r>
        <w:rPr>
          <w:rFonts w:ascii="Arial" w:hAnsi="Times New Roman" w:eastAsia="Times New Roman" w:cs="Times New Roman"/>
          <w:sz w:val="24"/>
          <w:shd w:val="clear" w:color="auto" w:fill="FFFFFF"/>
        </w:rPr>
        <w:t xml:space="preserve"> Indigenous engagement in earlier animated ethnographies was minimal—limited primarily to voice recordings and character renderings—lacking substantive, site-specific interaction or co-creative authorship (Bishop, C. 2012; Kester, G.H. 2004),</w:t>
      </w:r>
      <w:r>
        <w:rPr>
          <w:rFonts w:hint="eastAsia" w:ascii="Arial" w:hAnsi="Times New Roman" w:eastAsia="Times New Roman" w:cs="Times New Roman"/>
          <w:sz w:val="24"/>
          <w:shd w:val="clear" w:color="auto" w:fill="FFFFFF"/>
        </w:rPr>
        <w:t xml:space="preserve"> </w:t>
      </w:r>
      <w:r>
        <w:rPr>
          <w:rFonts w:ascii="Arial" w:hAnsi="Times New Roman" w:eastAsia="Times New Roman" w:cs="Times New Roman"/>
          <w:sz w:val="24"/>
          <w:shd w:val="clear" w:color="auto" w:fill="FFFFFF"/>
        </w:rPr>
        <w:t>i</w:t>
      </w:r>
      <w:r>
        <w:rPr>
          <w:rFonts w:hint="eastAsia" w:ascii="Arial" w:hAnsi="Times New Roman" w:eastAsia="Times New Roman" w:cs="Times New Roman"/>
          <w:sz w:val="24"/>
          <w:shd w:val="clear" w:color="auto" w:fill="FFFFFF"/>
        </w:rPr>
        <w:t>t is general and lacks specific encounters with the location.</w:t>
      </w:r>
      <w:r>
        <w:rPr>
          <w:rFonts w:ascii="Arial" w:hAnsi="Times New Roman" w:eastAsia="Times New Roman" w:cs="Times New Roman"/>
          <w:sz w:val="24"/>
          <w:shd w:val="clear" w:color="auto" w:fill="FFFFFF"/>
        </w:rPr>
        <w:t xml:space="preserve"> Previous scholarship has largely instrumentalised animation as an aesthetic tool, failing to fully explore its participatory and locational potential as a medium for cultural revitalisation.</w:t>
      </w:r>
    </w:p>
    <w:p w14:paraId="24A905D3">
      <w:pPr>
        <w:jc w:val="left"/>
        <w:rPr>
          <w:rFonts w:ascii="Arial" w:hAnsi="Times New Roman" w:eastAsia="Times New Roman" w:cs="Times New Roman"/>
          <w:sz w:val="24"/>
          <w:shd w:val="clear" w:color="auto" w:fill="FFFFFF"/>
        </w:rPr>
      </w:pPr>
    </w:p>
    <w:p w14:paraId="03513830">
      <w:pPr>
        <w:keepNext w:val="0"/>
        <w:keepLines w:val="0"/>
        <w:widowControl/>
        <w:suppressLineNumbers w:val="0"/>
        <w:jc w:val="left"/>
        <w:rPr>
          <w:rFonts w:ascii="Arial" w:hAnsi="Times New Roman" w:eastAsia="Times New Roman" w:cs="Times New Roman"/>
          <w:sz w:val="24"/>
          <w:shd w:val="clear" w:color="auto" w:fill="FFFFFF"/>
        </w:rPr>
      </w:pPr>
      <w:r>
        <w:rPr>
          <w:rFonts w:hint="eastAsia" w:ascii="Arial" w:hAnsi="Times New Roman" w:eastAsia="Times New Roman" w:cs="Times New Roman"/>
          <w:sz w:val="24"/>
          <w:shd w:val="clear" w:color="auto" w:fill="FFFFFF"/>
        </w:rPr>
        <w:t xml:space="preserve">This cautious and unconfident phenomenon of documentary imitation (particularly interview recording animation) creates a core contradiction </w:t>
      </w:r>
      <w:r>
        <w:rPr>
          <w:rFonts w:ascii="Arial" w:hAnsi="Times New Roman" w:eastAsia="Times New Roman" w:cs="Times New Roman"/>
          <w:sz w:val="24"/>
          <w:shd w:val="clear" w:color="auto" w:fill="FFFFFF"/>
        </w:rPr>
        <w:t xml:space="preserve">in animated documentaries. On the one hand, the documentary nature of animation is still </w:t>
      </w:r>
      <w:r>
        <w:rPr>
          <w:rFonts w:ascii="Arial" w:hAnsi="Times New Roman" w:cs="Times New Roman"/>
          <w:sz w:val="24"/>
          <w:shd w:val="clear" w:color="auto" w:fill="FFFFFF"/>
        </w:rPr>
        <w:t>excluded</w:t>
      </w:r>
      <w:r>
        <w:rPr>
          <w:rFonts w:ascii="Arial" w:hAnsi="Times New Roman" w:cs="Times New Roman"/>
          <w:sz w:val="24"/>
        </w:rPr>
        <w:t xml:space="preserve"> from mainstream archival science (Edward et al. </w:t>
      </w:r>
      <w:r>
        <w:rPr>
          <w:rFonts w:hint="eastAsia" w:ascii="Arial" w:hAnsi="Times New Roman" w:eastAsia="Times New Roman" w:cs="Times New Roman"/>
          <w:sz w:val="24"/>
          <w:shd w:val="clear" w:color="auto" w:fill="FFFFFF"/>
        </w:rPr>
        <w:t xml:space="preserve">2021; Francis et al. 2011), on the other hand, the significant devolution of the </w:t>
      </w:r>
      <w:r>
        <w:rPr>
          <w:rFonts w:hint="eastAsia" w:ascii="Arial" w:hAnsi="Times New Roman" w:eastAsia="Times New Roman" w:cs="Times New Roman"/>
          <w:sz w:val="24"/>
          <w:shd w:val="clear" w:color="auto" w:fill="FFFFFF"/>
          <w:lang w:eastAsia="zh-CN"/>
        </w:rPr>
        <w:t>“</w:t>
      </w:r>
      <w:r>
        <w:rPr>
          <w:rFonts w:hint="eastAsia" w:ascii="Arial" w:hAnsi="Times New Roman" w:eastAsia="Times New Roman" w:cs="Times New Roman"/>
          <w:sz w:val="24"/>
          <w:shd w:val="clear" w:color="auto" w:fill="FFFFFF"/>
          <w:lang w:val="en-US" w:eastAsia="zh-CN"/>
        </w:rPr>
        <w:t>hauntological temporality</w:t>
      </w:r>
      <w:r>
        <w:rPr>
          <w:rFonts w:hint="eastAsia" w:ascii="Arial" w:hAnsi="Times New Roman" w:eastAsia="Times New Roman" w:cs="Times New Roman"/>
          <w:sz w:val="24"/>
          <w:shd w:val="clear" w:color="auto" w:fill="FFFFFF"/>
          <w:lang w:eastAsia="zh-CN"/>
        </w:rPr>
        <w:t>”</w:t>
      </w:r>
      <w:r>
        <w:rPr>
          <w:rFonts w:hint="eastAsia" w:ascii="Arial" w:hAnsi="Times New Roman" w:eastAsia="Times New Roman" w:cs="Times New Roman"/>
          <w:sz w:val="24"/>
          <w:shd w:val="clear" w:color="auto" w:fill="FFFFFF"/>
        </w:rPr>
        <w:t xml:space="preserve"> of animation under the "realist" principle (Cholodenko, A. 2018). </w:t>
      </w:r>
      <w:r>
        <w:rPr>
          <w:rFonts w:hint="eastAsia" w:ascii="Arial" w:hAnsi="Times New Roman" w:eastAsia="Times New Roman" w:cs="Times New Roman"/>
          <w:sz w:val="24"/>
          <w:shd w:val="clear" w:color="auto" w:fill="FFFFFF"/>
          <w:lang w:val="en-US" w:eastAsia="zh-CN"/>
        </w:rPr>
        <w:t>however</w:t>
      </w:r>
      <w:r>
        <w:rPr>
          <w:rFonts w:hint="default" w:ascii="Arial" w:hAnsi="Times New Roman" w:eastAsia="Times New Roman" w:cs="Times New Roman"/>
          <w:sz w:val="24"/>
          <w:shd w:val="clear" w:color="auto" w:fill="FFFFFF"/>
        </w:rPr>
        <w:t>,</w:t>
      </w:r>
      <w:r>
        <w:rPr>
          <w:rFonts w:hint="eastAsia" w:ascii="Arial" w:hAnsi="Times New Roman" w:eastAsia="Times New Roman" w:cs="Times New Roman"/>
          <w:sz w:val="24"/>
          <w:shd w:val="clear" w:color="auto" w:fill="FFFFFF"/>
          <w:lang w:val="en-US" w:eastAsia="zh-CN"/>
        </w:rPr>
        <w:t>t</w:t>
      </w:r>
      <w:r>
        <w:rPr>
          <w:rFonts w:hint="eastAsia" w:ascii="Arial" w:hAnsi="Times New Roman" w:eastAsia="Times New Roman" w:cs="Times New Roman"/>
          <w:sz w:val="24"/>
          <w:shd w:val="clear" w:color="auto" w:fill="FFFFFF"/>
        </w:rPr>
        <w:t>he dynamic reconstru</w:t>
      </w:r>
      <w:r>
        <w:rPr>
          <w:rFonts w:ascii="Arial" w:hAnsi="Times New Roman" w:eastAsia="Times New Roman" w:cs="Times New Roman"/>
          <w:sz w:val="24"/>
          <w:shd w:val="clear" w:color="auto" w:fill="FFFFFF"/>
        </w:rPr>
        <w:t xml:space="preserve">ction function of the </w:t>
      </w:r>
      <w:r>
        <w:rPr>
          <w:rFonts w:hint="eastAsia" w:ascii="Arial" w:hAnsi="Times New Roman" w:eastAsia="Times New Roman" w:cs="Times New Roman"/>
          <w:sz w:val="24"/>
          <w:shd w:val="clear" w:color="auto" w:fill="FFFFFF"/>
        </w:rPr>
        <w:t>image and the image translation function of memory of this discourse are precisely the methods that can fold time and revive landscape culture (Wall, G. 2022).</w:t>
      </w:r>
    </w:p>
    <w:p w14:paraId="5DE53651">
      <w:pPr>
        <w:jc w:val="left"/>
        <w:rPr>
          <w:rFonts w:ascii="Arial" w:hAnsi="Times New Roman" w:eastAsia="Times New Roman" w:cs="Times New Roman"/>
          <w:sz w:val="24"/>
          <w:shd w:val="clear" w:color="auto" w:fill="FFFFFF"/>
          <w:lang w:val="en-GB"/>
        </w:rPr>
      </w:pPr>
    </w:p>
    <w:p w14:paraId="3D61BA10">
      <w:pPr>
        <w:jc w:val="left"/>
        <w:rPr>
          <w:rFonts w:ascii="Arial" w:hAnsi="Times New Roman" w:eastAsia="Times New Roman" w:cs="Times New Roman"/>
          <w:sz w:val="24"/>
          <w:shd w:val="clear" w:color="auto" w:fill="FFFFFF"/>
        </w:rPr>
      </w:pPr>
      <w:r>
        <w:rPr>
          <w:rFonts w:hint="eastAsia" w:ascii="Arial" w:hAnsi="Times New Roman" w:eastAsia="Times New Roman" w:cs="Times New Roman"/>
          <w:sz w:val="24"/>
          <w:shd w:val="clear" w:color="auto" w:fill="FFFFFF"/>
        </w:rPr>
        <w:t xml:space="preserve">3.4 This approach can be developed in the form of "hauntological ethnography" (Barad, </w:t>
      </w:r>
      <w:r>
        <w:rPr>
          <w:rFonts w:ascii="Arial" w:hAnsi="Times New Roman" w:eastAsia="Times New Roman" w:cs="Times New Roman"/>
          <w:sz w:val="24"/>
          <w:shd w:val="clear" w:color="auto" w:fill="FFFFFF"/>
        </w:rPr>
        <w:t>K. 2017</w:t>
      </w:r>
      <w:r>
        <w:rPr>
          <w:rFonts w:hint="eastAsia" w:ascii="Arial" w:hAnsi="Times New Roman" w:eastAsia="Times New Roman" w:cs="Times New Roman"/>
          <w:sz w:val="24"/>
          <w:shd w:val="clear" w:color="auto" w:fill="FFFFFF"/>
        </w:rPr>
        <w:t xml:space="preserve">), using dynamic, virtual, and mixed multi-image forms to express multiple temporal layers of the location, which in itself is the overall participation of the location elements. </w:t>
      </w:r>
      <w:r>
        <w:rPr>
          <w:rFonts w:ascii="Arial" w:hAnsi="Times New Roman" w:eastAsia="Times New Roman" w:cs="Times New Roman"/>
          <w:sz w:val="24"/>
          <w:shd w:val="clear" w:color="auto" w:fill="FFFFFF"/>
        </w:rPr>
        <w:t>Including Indigenous participants transforms the project into a ceremonial act of cultural revival, reinforcing the continuity of local traditions through collaborative engagement.</w:t>
      </w:r>
    </w:p>
    <w:p w14:paraId="692BD339">
      <w:pPr>
        <w:jc w:val="left"/>
        <w:rPr>
          <w:rFonts w:ascii="Arial" w:hAnsi="Times New Roman" w:eastAsia="Times New Roman" w:cs="Times New Roman"/>
          <w:sz w:val="24"/>
          <w:shd w:val="clear" w:color="auto" w:fill="FFFFFF"/>
        </w:rPr>
      </w:pPr>
    </w:p>
    <w:p w14:paraId="515322A0">
      <w:pPr>
        <w:ind w:firstLine="420"/>
        <w:jc w:val="left"/>
        <w:rPr>
          <w:rFonts w:ascii="宋体" w:hAnsi="宋体" w:eastAsia="宋体" w:cs="宋体"/>
          <w:sz w:val="24"/>
          <w:shd w:val="clear" w:color="auto" w:fill="FFFFFF"/>
        </w:rPr>
      </w:pPr>
      <w:r>
        <w:rPr>
          <w:rFonts w:ascii="Arial" w:hAnsi="Times New Roman" w:eastAsia="Times New Roman" w:cs="Times New Roman"/>
          <w:sz w:val="24"/>
          <w:shd w:val="clear" w:color="auto" w:fill="FFFFFF"/>
        </w:rPr>
        <w:t>These three dimensions—methodological development, archival formalisation, and participatory expansion—are essential for advancing animated documentaries as a tool capable of engaging with the temporal and spiritual complexity of place-based cultural memory</w:t>
      </w:r>
      <w:r>
        <w:rPr>
          <w:rFonts w:hint="eastAsia" w:ascii="Arial" w:hAnsi="Times New Roman" w:eastAsia="Times New Roman" w:cs="Times New Roman"/>
          <w:sz w:val="24"/>
          <w:shd w:val="clear" w:color="auto" w:fill="FFFFFF"/>
        </w:rPr>
        <w:t>.</w:t>
      </w:r>
      <w:r>
        <w:rPr>
          <w:rFonts w:ascii="Arial" w:hAnsi="Arial" w:eastAsia="宋体" w:cs="Arial"/>
          <w:sz w:val="24"/>
          <w:shd w:val="clear" w:color="auto" w:fill="FFFFFF"/>
          <w:lang w:val="en-GB"/>
        </w:rPr>
        <w:t xml:space="preserve"> </w:t>
      </w:r>
      <w:r>
        <w:rPr>
          <w:rFonts w:ascii="Arial" w:hAnsi="Times New Roman" w:eastAsia="Times New Roman" w:cs="Times New Roman"/>
          <w:sz w:val="24"/>
          <w:shd w:val="clear" w:color="auto" w:fill="FFFFFF"/>
        </w:rPr>
        <w:t>In short, what is lacking in the current research is:</w:t>
      </w:r>
      <w:r>
        <w:rPr>
          <w:rFonts w:ascii="Arial" w:hAnsi="Arial" w:eastAsia="宋体" w:cs="Arial"/>
          <w:sz w:val="24"/>
          <w:shd w:val="clear" w:color="auto" w:fill="FFFFFF"/>
        </w:rPr>
        <w:t xml:space="preserve"> </w:t>
      </w:r>
      <w:r>
        <w:rPr>
          <w:rFonts w:hint="eastAsia" w:ascii="Arial" w:hAnsi="Times New Roman" w:eastAsia="Times New Roman" w:cs="Times New Roman"/>
          <w:sz w:val="24"/>
          <w:shd w:val="clear" w:color="auto" w:fill="FFFFFF"/>
        </w:rPr>
        <w:t>Practical research</w:t>
      </w:r>
      <w:r>
        <w:rPr>
          <w:rFonts w:ascii="Arial" w:hAnsi="Times New Roman" w:eastAsia="Times New Roman" w:cs="Times New Roman"/>
          <w:sz w:val="24"/>
          <w:shd w:val="clear" w:color="auto" w:fill="FFFFFF"/>
        </w:rPr>
        <w:t xml:space="preserve"> on participatory animated documentaries lacks Indigenous communities and </w:t>
      </w:r>
      <w:r>
        <w:rPr>
          <w:rFonts w:hint="eastAsia" w:ascii="Arial" w:hAnsi="Times New Roman" w:eastAsia="Times New Roman" w:cs="Times New Roman"/>
          <w:sz w:val="24"/>
          <w:shd w:val="clear" w:color="auto" w:fill="FFFFFF"/>
        </w:rPr>
        <w:t>mythological fields in the mountainous terrain</w:t>
      </w:r>
      <w:r>
        <w:rPr>
          <w:rFonts w:ascii="Arial" w:hAnsi="Times New Roman" w:eastAsia="Times New Roman" w:cs="Times New Roman"/>
          <w:sz w:val="24"/>
          <w:shd w:val="clear" w:color="auto" w:fill="FFFFFF"/>
        </w:rPr>
        <w:t xml:space="preserve"> of </w:t>
      </w:r>
      <w:r>
        <w:rPr>
          <w:rFonts w:hint="eastAsia" w:ascii="Arial" w:hAnsi="Times New Roman" w:eastAsia="Times New Roman" w:cs="Times New Roman"/>
          <w:sz w:val="24"/>
          <w:shd w:val="clear" w:color="auto" w:fill="FFFFFF"/>
        </w:rPr>
        <w:t>East Asia</w:t>
      </w:r>
      <w:r>
        <w:rPr>
          <w:rFonts w:ascii="宋体" w:hAnsi="宋体" w:eastAsia="宋体" w:cs="宋体"/>
          <w:sz w:val="24"/>
          <w:shd w:val="clear" w:color="auto" w:fill="FFFFFF"/>
          <w:lang w:val="en-GB"/>
        </w:rPr>
        <w:t>;</w:t>
      </w:r>
      <w:r>
        <w:rPr>
          <w:rFonts w:hint="eastAsia" w:ascii="Arial" w:hAnsi="Times New Roman" w:eastAsia="Times New Roman" w:cs="Times New Roman"/>
          <w:sz w:val="24"/>
          <w:shd w:val="clear" w:color="auto" w:fill="FFFFFF"/>
        </w:rPr>
        <w:t>Archival expression of the multi</w:t>
      </w:r>
      <w:r>
        <w:rPr>
          <w:rFonts w:ascii="Arial" w:hAnsi="Times New Roman" w:eastAsia="Times New Roman" w:cs="Times New Roman"/>
          <w:sz w:val="24"/>
          <w:shd w:val="clear" w:color="auto" w:fill="FFFFFF"/>
        </w:rPr>
        <w:t>-</w:t>
      </w:r>
      <w:r>
        <w:rPr>
          <w:rFonts w:hint="eastAsia" w:ascii="Arial" w:hAnsi="Times New Roman" w:eastAsia="Times New Roman" w:cs="Times New Roman"/>
          <w:sz w:val="24"/>
          <w:shd w:val="clear" w:color="auto" w:fill="FFFFFF"/>
        </w:rPr>
        <w:t>temporality of locations lacks the intervention of an effective multi</w:t>
      </w:r>
      <w:r>
        <w:rPr>
          <w:rFonts w:ascii="Arial" w:hAnsi="Times New Roman" w:eastAsia="Times New Roman" w:cs="Times New Roman"/>
          <w:sz w:val="24"/>
          <w:shd w:val="clear" w:color="auto" w:fill="FFFFFF"/>
        </w:rPr>
        <w:t>-</w:t>
      </w:r>
      <w:r>
        <w:rPr>
          <w:rFonts w:hint="eastAsia" w:ascii="Arial" w:hAnsi="Times New Roman" w:eastAsia="Times New Roman" w:cs="Times New Roman"/>
          <w:sz w:val="24"/>
          <w:shd w:val="clear" w:color="auto" w:fill="FFFFFF"/>
        </w:rPr>
        <w:t>temporal virtual image method that can both dynamically reconstruct images and translate memory images;</w:t>
      </w:r>
      <w:r>
        <w:rPr>
          <w:rFonts w:ascii="Arial" w:hAnsi="Times New Roman" w:eastAsia="Times New Roman" w:cs="Times New Roman"/>
          <w:sz w:val="24"/>
          <w:shd w:val="clear" w:color="auto" w:fill="FFFFFF"/>
        </w:rPr>
        <w:t xml:space="preserve"> Currently, there is a critical absence of a structured participatory animated documentary framework that encompasses the full trajectory of cultural revival—from site-based investigation to ritual enactment.</w:t>
      </w:r>
    </w:p>
    <w:p w14:paraId="7D6423B2">
      <w:pPr>
        <w:ind w:firstLine="480" w:firstLineChars="200"/>
        <w:jc w:val="left"/>
        <w:rPr>
          <w:rFonts w:ascii="Arial" w:hAnsi="Arial" w:eastAsia="宋体" w:cs="Arial"/>
          <w:sz w:val="24"/>
          <w:shd w:val="clear" w:color="auto" w:fill="FFFFFF"/>
        </w:rPr>
      </w:pPr>
    </w:p>
    <w:p w14:paraId="05BA6020">
      <w:pPr>
        <w:ind w:firstLine="420"/>
        <w:jc w:val="left"/>
        <w:rPr>
          <w:rFonts w:ascii="Arial" w:hAnsi="Times New Roman" w:eastAsia="Times New Roman" w:cs="Times New Roman"/>
          <w:sz w:val="24"/>
          <w:shd w:val="clear" w:color="auto" w:fill="FFFFFF"/>
        </w:rPr>
      </w:pPr>
      <w:r>
        <w:rPr>
          <w:rFonts w:ascii="Arial" w:hAnsi="Times New Roman" w:eastAsia="Times New Roman" w:cs="Times New Roman"/>
          <w:sz w:val="24"/>
          <w:shd w:val="clear" w:color="auto" w:fill="FFFFFF"/>
        </w:rPr>
        <w:t>4. Research Methodology (35%)</w:t>
      </w:r>
    </w:p>
    <w:p w14:paraId="5A0653DC">
      <w:pPr>
        <w:ind w:firstLine="420"/>
        <w:jc w:val="left"/>
        <w:rPr>
          <w:rFonts w:ascii="Arial" w:hAnsi="Times New Roman" w:eastAsia="Times New Roman" w:cs="Times New Roman"/>
          <w:sz w:val="24"/>
          <w:shd w:val="clear" w:color="auto" w:fill="FFFFFF"/>
        </w:rPr>
      </w:pPr>
      <w:r>
        <w:rPr>
          <w:rFonts w:hint="eastAsia" w:ascii="Arial" w:hAnsi="Times New Roman" w:eastAsia="Times New Roman" w:cs="Times New Roman"/>
          <w:sz w:val="24"/>
          <w:shd w:val="clear" w:color="auto" w:fill="FFFFFF"/>
        </w:rPr>
        <w:t xml:space="preserve">4.1 </w:t>
      </w:r>
      <w:r>
        <w:rPr>
          <w:rFonts w:ascii="Arial" w:hAnsi="Times New Roman" w:eastAsia="Times New Roman" w:cs="Times New Roman"/>
          <w:sz w:val="24"/>
          <w:shd w:val="clear" w:color="auto" w:fill="FFFFFF"/>
        </w:rPr>
        <w:t>In participatory animation, the research methodology unfolds from</w:t>
      </w:r>
      <w:r>
        <w:rPr>
          <w:rFonts w:hint="eastAsia" w:ascii="Arial" w:hAnsi="Times New Roman" w:eastAsia="Times New Roman" w:cs="Times New Roman"/>
          <w:sz w:val="24"/>
          <w:shd w:val="clear" w:color="auto" w:fill="FFFFFF"/>
        </w:rPr>
        <w:t xml:space="preserve"> four sequential dimensions.</w:t>
      </w:r>
      <w:r>
        <w:rPr>
          <w:rFonts w:ascii="Arial" w:hAnsi="Times New Roman" w:eastAsia="Times New Roman" w:cs="Times New Roman"/>
          <w:sz w:val="24"/>
          <w:shd w:val="clear" w:color="auto" w:fill="FFFFFF"/>
        </w:rPr>
        <w:t xml:space="preserve"> Phase One: Oral History Collection. This phase involves ethnographic fieldwork in sparsely populated mountain villages with distinctive topographies, where local elders narrate terrain-related myths. Data is gathered through family storytelling sessions, village discussions, and archival reviews. Rooted in anthropological methodology, this stage emphasises the cross-verification of multiple oral accounts to reconstruct narrative models that approximate premodern mythological structures as accurately as possible. Phase Two: On-site Archaeology of the Location</w:t>
      </w:r>
      <w:r>
        <w:rPr>
          <w:rFonts w:hint="eastAsia" w:ascii="Arial" w:hAnsi="Times New Roman" w:eastAsia="Times New Roman" w:cs="Times New Roman"/>
          <w:sz w:val="24"/>
          <w:shd w:val="clear" w:color="auto" w:fill="FFFFFF"/>
        </w:rPr>
        <w:t xml:space="preserve">. Go to specific sites associated with these oral histories, sample site materials, and </w:t>
      </w:r>
      <w:r>
        <w:rPr>
          <w:rFonts w:ascii="Arial" w:hAnsi="Times New Roman" w:eastAsia="Times New Roman" w:cs="Times New Roman"/>
          <w:sz w:val="24"/>
          <w:shd w:val="clear" w:color="auto" w:fill="FFFFFF"/>
        </w:rPr>
        <w:t>analyse</w:t>
      </w:r>
      <w:r>
        <w:rPr>
          <w:rFonts w:hint="eastAsia" w:ascii="Arial" w:hAnsi="Times New Roman" w:eastAsia="Times New Roman" w:cs="Times New Roman"/>
          <w:sz w:val="24"/>
          <w:shd w:val="clear" w:color="auto" w:fill="FFFFFF"/>
        </w:rPr>
        <w:t xml:space="preserve"> why the sites are strongly associated with these oral texts. The method is </w:t>
      </w:r>
      <w:r>
        <w:rPr>
          <w:rFonts w:ascii="Arial" w:hAnsi="Times New Roman" w:eastAsia="Times New Roman" w:cs="Times New Roman"/>
          <w:sz w:val="24"/>
          <w:shd w:val="clear" w:color="auto" w:fill="FFFFFF"/>
        </w:rPr>
        <w:t xml:space="preserve">an </w:t>
      </w:r>
      <w:r>
        <w:rPr>
          <w:rFonts w:hint="eastAsia" w:ascii="Arial" w:hAnsi="Times New Roman" w:eastAsia="Times New Roman" w:cs="Times New Roman"/>
          <w:sz w:val="24"/>
          <w:shd w:val="clear" w:color="auto" w:fill="FFFFFF"/>
        </w:rPr>
        <w:t xml:space="preserve">on-site </w:t>
      </w:r>
      <w:r>
        <w:rPr>
          <w:rFonts w:ascii="Arial" w:hAnsi="Times New Roman" w:eastAsia="Times New Roman" w:cs="Times New Roman"/>
          <w:sz w:val="24"/>
          <w:shd w:val="clear" w:color="auto" w:fill="FFFFFF"/>
        </w:rPr>
        <w:t>visit</w:t>
      </w:r>
      <w:r>
        <w:rPr>
          <w:rFonts w:hint="eastAsia" w:ascii="Arial" w:hAnsi="Times New Roman" w:eastAsia="Times New Roman" w:cs="Times New Roman"/>
          <w:sz w:val="24"/>
          <w:shd w:val="clear" w:color="auto" w:fill="FFFFFF"/>
        </w:rPr>
        <w:t xml:space="preserve">, </w:t>
      </w:r>
      <w:r>
        <w:rPr>
          <w:rFonts w:ascii="Arial" w:hAnsi="Times New Roman" w:eastAsia="Times New Roman" w:cs="Times New Roman"/>
          <w:sz w:val="24"/>
          <w:shd w:val="clear" w:color="auto" w:fill="FFFFFF"/>
        </w:rPr>
        <w:t>and image collection location</w:t>
      </w:r>
      <w:r>
        <w:rPr>
          <w:rFonts w:hint="eastAsia" w:ascii="Arial" w:hAnsi="Times New Roman" w:eastAsia="Times New Roman" w:cs="Times New Roman"/>
          <w:sz w:val="24"/>
          <w:shd w:val="clear" w:color="auto" w:fill="FFFFFF"/>
        </w:rPr>
        <w:t>.</w:t>
      </w:r>
      <w:r>
        <w:rPr>
          <w:rFonts w:ascii="Arial" w:hAnsi="Times New Roman" w:eastAsia="Times New Roman" w:cs="Times New Roman"/>
          <w:sz w:val="24"/>
          <w:shd w:val="clear" w:color="auto" w:fill="FFFFFF"/>
        </w:rPr>
        <w:t xml:space="preserve"> Phase Three entails a Participatory Animation Workshop informed by Honess Roe’s framework for documentary animation and Birgitta Hosea’s concepts of extended and post-animation, producing cross-media visualisations rooted in collaboratively sourced oral histories. </w:t>
      </w:r>
      <w:r>
        <w:rPr>
          <w:rFonts w:hint="eastAsia" w:ascii="Arial" w:hAnsi="Times New Roman" w:eastAsia="Times New Roman" w:cs="Times New Roman"/>
          <w:sz w:val="24"/>
          <w:shd w:val="clear" w:color="auto" w:fill="FFFFFF"/>
        </w:rPr>
        <w:t xml:space="preserve">The approach is </w:t>
      </w:r>
      <w:r>
        <w:rPr>
          <w:rFonts w:ascii="Arial" w:hAnsi="Times New Roman" w:eastAsia="Times New Roman" w:cs="Times New Roman"/>
          <w:sz w:val="24"/>
          <w:shd w:val="clear" w:color="auto" w:fill="FFFFFF"/>
        </w:rPr>
        <w:t>participation in animation</w:t>
      </w:r>
      <w:r>
        <w:rPr>
          <w:rFonts w:hint="eastAsia" w:ascii="Arial" w:hAnsi="Times New Roman" w:eastAsia="Times New Roman" w:cs="Times New Roman"/>
          <w:sz w:val="24"/>
          <w:shd w:val="clear" w:color="auto" w:fill="FFFFFF"/>
        </w:rPr>
        <w:t>、</w:t>
      </w:r>
      <w:r>
        <w:rPr>
          <w:rFonts w:ascii="Arial" w:hAnsi="Times New Roman" w:eastAsia="Times New Roman" w:cs="Times New Roman"/>
          <w:sz w:val="24"/>
          <w:shd w:val="clear" w:color="auto" w:fill="FFFFFF"/>
        </w:rPr>
        <w:t>physical participation in animation</w:t>
      </w:r>
      <w:r>
        <w:rPr>
          <w:rFonts w:hint="eastAsia" w:ascii="Arial" w:hAnsi="Times New Roman" w:eastAsia="Times New Roman" w:cs="Times New Roman"/>
          <w:sz w:val="24"/>
          <w:shd w:val="clear" w:color="auto" w:fill="FFFFFF"/>
        </w:rPr>
        <w:t>、</w:t>
      </w:r>
      <w:r>
        <w:rPr>
          <w:rFonts w:ascii="Arial" w:hAnsi="Times New Roman" w:eastAsia="Times New Roman" w:cs="Times New Roman"/>
          <w:sz w:val="24"/>
          <w:shd w:val="clear" w:color="auto" w:fill="FFFFFF"/>
        </w:rPr>
        <w:t>thinking participation in animation art</w:t>
      </w:r>
      <w:r>
        <w:rPr>
          <w:rFonts w:hint="eastAsia" w:ascii="Arial" w:hAnsi="Times New Roman" w:eastAsia="Times New Roman" w:cs="Times New Roman"/>
          <w:sz w:val="24"/>
          <w:shd w:val="clear" w:color="auto" w:fill="FFFFFF"/>
        </w:rPr>
        <w:t>.</w:t>
      </w:r>
      <w:r>
        <w:rPr>
          <w:rFonts w:ascii="Arial" w:hAnsi="Times New Roman" w:eastAsia="Times New Roman" w:cs="Times New Roman"/>
          <w:sz w:val="24"/>
          <w:shd w:val="clear" w:color="auto" w:fill="FFFFFF"/>
        </w:rPr>
        <w:t xml:space="preserve"> Phase Four: Site Revival</w:t>
      </w:r>
      <w:r>
        <w:rPr>
          <w:rFonts w:hint="eastAsia" w:ascii="Arial" w:hAnsi="Times New Roman" w:eastAsia="Times New Roman" w:cs="Times New Roman"/>
          <w:sz w:val="24"/>
          <w:shd w:val="clear" w:color="auto" w:fill="FFFFFF"/>
        </w:rPr>
        <w:t xml:space="preserve"> Ceremony</w:t>
      </w:r>
      <w:r>
        <w:rPr>
          <w:rFonts w:ascii="Arial" w:hAnsi="Times New Roman" w:eastAsia="Times New Roman" w:cs="Times New Roman"/>
          <w:sz w:val="24"/>
          <w:shd w:val="clear" w:color="auto" w:fill="FFFFFF"/>
        </w:rPr>
        <w:t xml:space="preserve">. Based on these cross-media animated documentary productions, animated festivals are held at the locations discussed in the animation. This dimension, from the </w:t>
      </w:r>
      <w:r>
        <w:rPr>
          <w:rFonts w:hint="eastAsia" w:ascii="Arial" w:hAnsi="Times New Roman" w:eastAsia="Times New Roman" w:cs="Times New Roman"/>
          <w:sz w:val="24"/>
          <w:shd w:val="clear" w:color="auto" w:fill="FFFFFF"/>
        </w:rPr>
        <w:t>perspectives of anthropology</w:t>
      </w:r>
      <w:r>
        <w:rPr>
          <w:rFonts w:ascii="Arial" w:hAnsi="Times New Roman" w:eastAsia="Times New Roman" w:cs="Times New Roman"/>
          <w:sz w:val="24"/>
          <w:shd w:val="clear" w:color="auto" w:fill="FFFFFF"/>
        </w:rPr>
        <w:t xml:space="preserve">, archaeology, and visual culture, explores how specific nature has influenced the spirit and behaviour of human groups in the early and contemporary development of humanity, seeks a documentary expression in fictional dynamic images, and adds the human spirit to nature to restore the original civilization. </w:t>
      </w:r>
      <w:r>
        <w:rPr>
          <w:rFonts w:hint="eastAsia" w:ascii="Arial" w:hAnsi="Times New Roman" w:eastAsia="Times New Roman" w:cs="Times New Roman"/>
          <w:sz w:val="24"/>
          <w:shd w:val="clear" w:color="auto" w:fill="FFFFFF"/>
        </w:rPr>
        <w:t>The approach involves Art festivals, animation ceremonies, and Seminar activities.</w:t>
      </w:r>
    </w:p>
    <w:p w14:paraId="3FCC0D84">
      <w:pPr>
        <w:ind w:firstLine="480" w:firstLineChars="200"/>
        <w:jc w:val="left"/>
        <w:rPr>
          <w:rFonts w:ascii="Arial" w:hAnsi="Arial" w:eastAsia="宋体" w:cs="Arial"/>
          <w:sz w:val="24"/>
          <w:shd w:val="clear" w:color="auto" w:fill="FFFFFF"/>
        </w:rPr>
      </w:pPr>
    </w:p>
    <w:p w14:paraId="122F5EB1">
      <w:pPr>
        <w:jc w:val="left"/>
        <w:rPr>
          <w:rFonts w:ascii="Arial" w:hAnsi="Arial" w:eastAsia="宋体" w:cs="Arial"/>
          <w:sz w:val="24"/>
          <w:shd w:val="clear" w:color="auto" w:fill="FFFFFF"/>
        </w:rPr>
      </w:pPr>
      <w:r>
        <w:rPr>
          <w:rFonts w:hint="eastAsia" w:ascii="Arial" w:hAnsi="Arial" w:eastAsia="宋体" w:cs="Arial"/>
          <w:sz w:val="24"/>
          <w:shd w:val="clear" w:color="auto" w:fill="FFFFFF"/>
        </w:rPr>
        <w:drawing>
          <wp:inline distT="0" distB="0" distL="114300" distR="114300">
            <wp:extent cx="5274310" cy="3016250"/>
            <wp:effectExtent l="0" t="0" r="13970" b="1270"/>
            <wp:docPr id="3" name="图片 3" descr="方法论英文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方法论英文版"/>
                    <pic:cNvPicPr>
                      <a:picLocks noChangeAspect="1"/>
                    </pic:cNvPicPr>
                  </pic:nvPicPr>
                  <pic:blipFill>
                    <a:blip r:embed="rId4"/>
                    <a:stretch>
                      <a:fillRect/>
                    </a:stretch>
                  </pic:blipFill>
                  <pic:spPr>
                    <a:xfrm>
                      <a:off x="0" y="0"/>
                      <a:ext cx="5274310" cy="3016250"/>
                    </a:xfrm>
                    <a:prstGeom prst="rect">
                      <a:avLst/>
                    </a:prstGeom>
                  </pic:spPr>
                </pic:pic>
              </a:graphicData>
            </a:graphic>
          </wp:inline>
        </w:drawing>
      </w:r>
    </w:p>
    <w:p w14:paraId="3E5068B2">
      <w:pPr>
        <w:ind w:firstLine="480" w:firstLineChars="200"/>
        <w:jc w:val="left"/>
        <w:rPr>
          <w:rFonts w:ascii="Arial" w:hAnsi="Arial" w:eastAsia="宋体" w:cs="Arial"/>
          <w:sz w:val="24"/>
          <w:shd w:val="clear" w:color="auto" w:fill="FFFFFF"/>
        </w:rPr>
      </w:pPr>
    </w:p>
    <w:p w14:paraId="2DCD3794">
      <w:pPr>
        <w:jc w:val="left"/>
        <w:rPr>
          <w:rFonts w:ascii="Arial" w:hAnsi="Times New Roman" w:eastAsia="Times New Roman" w:cs="Times New Roman"/>
          <w:sz w:val="24"/>
          <w:shd w:val="clear" w:color="auto" w:fill="FFFFFF"/>
        </w:rPr>
      </w:pPr>
    </w:p>
    <w:p w14:paraId="34D9E41C">
      <w:pPr>
        <w:ind w:firstLine="420"/>
        <w:jc w:val="left"/>
        <w:rPr>
          <w:rFonts w:ascii="Arial" w:hAnsi="Times New Roman" w:eastAsia="Times New Roman" w:cs="Times New Roman"/>
          <w:sz w:val="24"/>
          <w:shd w:val="clear" w:color="auto" w:fill="FFFFFF"/>
        </w:rPr>
      </w:pPr>
      <w:r>
        <w:rPr>
          <w:rFonts w:ascii="Arial" w:hAnsi="Times New Roman" w:eastAsia="Times New Roman" w:cs="Times New Roman"/>
          <w:sz w:val="24"/>
          <w:shd w:val="clear" w:color="auto" w:fill="FFFFFF"/>
        </w:rPr>
        <w:t xml:space="preserve">This framework has been applied in three separate case studies, each aligned with one of the model’s three methodological dimensions. </w:t>
      </w:r>
      <w:r>
        <w:rPr>
          <w:rFonts w:hint="eastAsia" w:ascii="Arial" w:hAnsi="Times New Roman" w:eastAsia="Times New Roman" w:cs="Times New Roman"/>
          <w:sz w:val="24"/>
          <w:shd w:val="clear" w:color="auto" w:fill="FFFFFF"/>
        </w:rPr>
        <w:t xml:space="preserve">Each set was developed in the mountainous area of Chongqing. </w:t>
      </w:r>
      <w:r>
        <w:rPr>
          <w:rFonts w:ascii="Arial" w:hAnsi="Times New Roman" w:eastAsia="Times New Roman" w:cs="Times New Roman"/>
          <w:sz w:val="24"/>
          <w:shd w:val="clear" w:color="auto" w:fill="FFFFFF"/>
        </w:rPr>
        <w:t>There are so many dialects in the mountainous area of Chongqing that it is difficult to conduct research. I , as an Indigenous, can communicate without barriers; All cases were conducted in Chongqing’s mountainous regions, where high dialectal diversity presents significant linguistic challenges to conventional research methodologies.</w:t>
      </w:r>
    </w:p>
    <w:p w14:paraId="2610DA9E">
      <w:pPr>
        <w:ind w:firstLine="420"/>
        <w:jc w:val="left"/>
        <w:rPr>
          <w:rFonts w:ascii="Arial" w:hAnsi="Times New Roman" w:eastAsia="Times New Roman" w:cs="Times New Roman"/>
          <w:sz w:val="24"/>
          <w:shd w:val="clear" w:color="auto" w:fill="FFFFFF"/>
        </w:rPr>
      </w:pPr>
    </w:p>
    <w:p w14:paraId="6F9FAE12">
      <w:pPr>
        <w:ind w:firstLine="420"/>
        <w:jc w:val="left"/>
        <w:rPr>
          <w:rFonts w:ascii="Arial" w:hAnsi="Times New Roman" w:eastAsia="Times New Roman" w:cs="Times New Roman"/>
          <w:sz w:val="24"/>
          <w:shd w:val="clear" w:color="auto" w:fill="FFFFFF"/>
        </w:rPr>
      </w:pPr>
      <w:r>
        <w:rPr>
          <w:rFonts w:ascii="Arial" w:hAnsi="Times New Roman" w:eastAsia="Times New Roman" w:cs="Times New Roman"/>
          <w:sz w:val="24"/>
          <w:shd w:val="clear" w:color="auto" w:fill="FFFFFF"/>
        </w:rPr>
        <w:t>The first group was in the mountainous area of Youyang, Chongqing. Through the oral reconstruction of myths such as “N</w:t>
      </w:r>
      <w:r>
        <w:rPr>
          <w:rFonts w:hint="eastAsia" w:ascii="Arial" w:hAnsi="Times New Roman" w:eastAsia="Times New Roman" w:cs="Times New Roman"/>
          <w:sz w:val="24"/>
          <w:shd w:val="clear" w:color="auto" w:fill="FFFFFF"/>
          <w:lang w:val="en-US" w:eastAsia="zh-CN"/>
        </w:rPr>
        <w:t>ia</w:t>
      </w:r>
      <w:r>
        <w:rPr>
          <w:rFonts w:ascii="Arial" w:hAnsi="Times New Roman" w:eastAsia="Times New Roman" w:cs="Times New Roman"/>
          <w:sz w:val="24"/>
          <w:shd w:val="clear" w:color="auto" w:fill="FFFFFF"/>
        </w:rPr>
        <w:t xml:space="preserve">wa Cave,” “Shen Cave,” and “The Ox That Wouldn’t </w:t>
      </w:r>
      <w:r>
        <w:rPr>
          <w:rFonts w:hint="eastAsia" w:ascii="Arial" w:hAnsi="Times New Roman" w:eastAsia="Times New Roman" w:cs="Times New Roman"/>
          <w:sz w:val="24"/>
          <w:shd w:val="clear" w:color="auto" w:fill="FFFFFF"/>
          <w:lang w:val="en-US" w:eastAsia="zh-CN"/>
        </w:rPr>
        <w:t>Turn around</w:t>
      </w:r>
      <w:r>
        <w:rPr>
          <w:rFonts w:ascii="Arial" w:hAnsi="Times New Roman" w:eastAsia="Times New Roman" w:cs="Times New Roman"/>
          <w:sz w:val="24"/>
          <w:shd w:val="clear" w:color="auto" w:fill="FFFFFF"/>
        </w:rPr>
        <w:t xml:space="preserve"> for Three Days,” a community art festival was organised, which revitalised intergenerational transmission of folklore and reshaped contemporary narratives and communal practices. The second time was at Degan Primary School in Jiangjin District, Chongqing. Through the oral history of the elders, it was discovered that the school was once a well-known local family temple in the last century. We invited the children of the school to participate in this animation, which led the school to start protecting the temple site and interrogate the location in the curriculum. These two projects respectively reflect the role of participatory animated documentaries in two different groups of test models, mountainous and rural, natural and human, and show the vast academic space and social significance behind them. The third project undertakes fieldwork at six source points of the two principal rivers in Chongqing’s Banan District, inviting six proximate villagers to collaboratively produce animations using </w:t>
      </w:r>
      <w:r>
        <w:rPr>
          <w:rFonts w:hint="eastAsia" w:ascii="Arial" w:hAnsi="Times New Roman" w:eastAsia="Times New Roman" w:cs="Times New Roman"/>
          <w:sz w:val="24"/>
          <w:shd w:val="clear" w:color="auto" w:fill="FFFFFF"/>
          <w:lang w:val="en-US" w:eastAsia="zh-CN"/>
        </w:rPr>
        <w:t>right those</w:t>
      </w:r>
      <w:r>
        <w:rPr>
          <w:rFonts w:hint="default" w:ascii="Arial" w:hAnsi="Times New Roman" w:eastAsia="Times New Roman" w:cs="Times New Roman"/>
          <w:sz w:val="24"/>
          <w:shd w:val="clear" w:color="auto" w:fill="FFFFFF"/>
        </w:rPr>
        <w:t xml:space="preserve"> </w:t>
      </w:r>
      <w:r>
        <w:rPr>
          <w:rFonts w:hint="eastAsia" w:ascii="Arial" w:hAnsi="Times New Roman" w:eastAsia="Times New Roman" w:cs="Times New Roman"/>
          <w:sz w:val="24"/>
          <w:shd w:val="clear" w:color="auto" w:fill="FFFFFF"/>
          <w:lang w:val="en-US" w:eastAsia="zh-CN"/>
        </w:rPr>
        <w:t>river sources’</w:t>
      </w:r>
      <w:r>
        <w:rPr>
          <w:rFonts w:ascii="Arial" w:hAnsi="Times New Roman" w:eastAsia="Times New Roman" w:cs="Times New Roman"/>
          <w:sz w:val="24"/>
          <w:shd w:val="clear" w:color="auto" w:fill="FFFFFF"/>
        </w:rPr>
        <w:t xml:space="preserve"> </w:t>
      </w:r>
      <w:r>
        <w:rPr>
          <w:rFonts w:hint="default" w:ascii="Arial" w:hAnsi="Times New Roman" w:eastAsia="Times New Roman" w:cs="Times New Roman"/>
          <w:sz w:val="24"/>
          <w:shd w:val="clear" w:color="auto" w:fill="FFFFFF"/>
        </w:rPr>
        <w:t>river mud</w:t>
      </w:r>
      <w:r>
        <w:rPr>
          <w:rFonts w:ascii="Arial" w:hAnsi="Times New Roman" w:eastAsia="Times New Roman" w:cs="Times New Roman"/>
          <w:sz w:val="24"/>
          <w:shd w:val="clear" w:color="auto" w:fill="FFFFFF"/>
        </w:rPr>
        <w:t xml:space="preserve"> and water</w:t>
      </w:r>
      <w:r>
        <w:rPr>
          <w:rFonts w:ascii="Arial" w:hAnsi="Times New Roman" w:eastAsia="Times New Roman" w:cs="Times New Roman"/>
          <w:sz w:val="24"/>
          <w:shd w:val="clear" w:color="auto" w:fill="FFFFFF"/>
        </w:rPr>
        <w:t>, which are then presented in a downstream community art festival as a form of environmental storytelling.</w:t>
      </w:r>
    </w:p>
    <w:p w14:paraId="5BE5DE1A">
      <w:pPr>
        <w:ind w:firstLine="420"/>
        <w:jc w:val="left"/>
        <w:rPr>
          <w:rFonts w:ascii="Arial" w:hAnsi="Times New Roman" w:eastAsia="Times New Roman" w:cs="Times New Roman"/>
          <w:sz w:val="24"/>
          <w:shd w:val="clear" w:color="auto" w:fill="FFFFFF"/>
        </w:rPr>
      </w:pPr>
    </w:p>
    <w:p w14:paraId="6AE2B373">
      <w:pPr>
        <w:ind w:firstLine="420"/>
        <w:jc w:val="left"/>
        <w:rPr>
          <w:rFonts w:ascii="Arial" w:hAnsi="Arial" w:eastAsia="宋体" w:cs="Arial"/>
          <w:sz w:val="24"/>
          <w:shd w:val="clear" w:color="auto" w:fill="FFFFFF"/>
        </w:rPr>
      </w:pPr>
      <w:r>
        <w:rPr>
          <w:rFonts w:hint="eastAsia" w:ascii="Arial" w:hAnsi="Times New Roman" w:eastAsia="Times New Roman" w:cs="Times New Roman"/>
          <w:sz w:val="24"/>
          <w:shd w:val="clear" w:color="auto" w:fill="FFFFFF"/>
        </w:rPr>
        <w:t xml:space="preserve">Ethical considerations: </w:t>
      </w:r>
      <w:r>
        <w:rPr>
          <w:rFonts w:ascii="Arial" w:hAnsi="Times New Roman" w:eastAsia="Times New Roman" w:cs="Times New Roman"/>
          <w:sz w:val="24"/>
          <w:shd w:val="clear" w:color="auto" w:fill="FFFFFF"/>
        </w:rPr>
        <w:t>Ethically, this project ensures co-authorship with Indigenous participants, granting them full rights to exhibit and distribute the works; dialectal recordings and related materials will be archived locally, with all Indigenous contributors formally identified and acknowledged.</w:t>
      </w:r>
    </w:p>
    <w:p w14:paraId="160B2469">
      <w:pPr>
        <w:ind w:firstLine="420"/>
        <w:jc w:val="left"/>
        <w:rPr>
          <w:rFonts w:ascii="Arial" w:hAnsi="Arial" w:eastAsia="宋体" w:cs="Arial"/>
          <w:sz w:val="24"/>
          <w:shd w:val="clear" w:color="auto" w:fill="FFFFFF"/>
        </w:rPr>
      </w:pPr>
      <w:r>
        <w:rPr>
          <w:rFonts w:ascii="Arial" w:hAnsi="Arial" w:eastAsia="宋体" w:cs="Arial"/>
          <w:sz w:val="24"/>
          <w:shd w:val="clear" w:color="auto" w:fill="FFFFFF"/>
        </w:rPr>
        <w:drawing>
          <wp:anchor distT="0" distB="0" distL="114300" distR="114300" simplePos="0" relativeHeight="251659264" behindDoc="0" locked="0" layoutInCell="1" allowOverlap="1">
            <wp:simplePos x="0" y="0"/>
            <wp:positionH relativeFrom="column">
              <wp:posOffset>-581660</wp:posOffset>
            </wp:positionH>
            <wp:positionV relativeFrom="paragraph">
              <wp:posOffset>97155</wp:posOffset>
            </wp:positionV>
            <wp:extent cx="6336030" cy="4991100"/>
            <wp:effectExtent l="0" t="0" r="3810" b="7620"/>
            <wp:wrapNone/>
            <wp:docPr id="4" name="图片 4" descr="三种实践模型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三种实践模型英文"/>
                    <pic:cNvPicPr>
                      <a:picLocks noChangeAspect="1"/>
                    </pic:cNvPicPr>
                  </pic:nvPicPr>
                  <pic:blipFill>
                    <a:blip r:embed="rId5"/>
                    <a:srcRect l="2059" t="2582" r="1982" b="3046"/>
                    <a:stretch>
                      <a:fillRect/>
                    </a:stretch>
                  </pic:blipFill>
                  <pic:spPr>
                    <a:xfrm>
                      <a:off x="0" y="0"/>
                      <a:ext cx="6336030" cy="4991100"/>
                    </a:xfrm>
                    <a:prstGeom prst="rect">
                      <a:avLst/>
                    </a:prstGeom>
                  </pic:spPr>
                </pic:pic>
              </a:graphicData>
            </a:graphic>
          </wp:anchor>
        </w:drawing>
      </w:r>
    </w:p>
    <w:p w14:paraId="44809DB2">
      <w:pPr>
        <w:ind w:firstLine="420"/>
        <w:jc w:val="left"/>
        <w:rPr>
          <w:rFonts w:ascii="Arial" w:hAnsi="Arial" w:eastAsia="宋体" w:cs="Arial"/>
          <w:sz w:val="24"/>
          <w:shd w:val="clear" w:color="auto" w:fill="FFFFFF"/>
        </w:rPr>
      </w:pPr>
    </w:p>
    <w:p w14:paraId="152E8F6E">
      <w:pPr>
        <w:ind w:firstLine="420"/>
        <w:jc w:val="left"/>
        <w:rPr>
          <w:rFonts w:ascii="Arial" w:hAnsi="Arial" w:eastAsia="宋体" w:cs="Arial"/>
          <w:sz w:val="24"/>
          <w:shd w:val="clear" w:color="auto" w:fill="FFFFFF"/>
        </w:rPr>
      </w:pPr>
    </w:p>
    <w:p w14:paraId="364139AA">
      <w:pPr>
        <w:ind w:firstLine="420"/>
        <w:jc w:val="left"/>
        <w:rPr>
          <w:rFonts w:ascii="Arial" w:hAnsi="Arial" w:eastAsia="宋体" w:cs="Arial"/>
          <w:sz w:val="24"/>
          <w:shd w:val="clear" w:color="auto" w:fill="FFFFFF"/>
        </w:rPr>
      </w:pPr>
    </w:p>
    <w:p w14:paraId="7F4E0C44">
      <w:pPr>
        <w:ind w:firstLine="420"/>
        <w:jc w:val="left"/>
        <w:rPr>
          <w:rFonts w:ascii="Arial" w:hAnsi="Arial" w:eastAsia="宋体" w:cs="Arial"/>
          <w:sz w:val="24"/>
          <w:shd w:val="clear" w:color="auto" w:fill="FFFFFF"/>
        </w:rPr>
      </w:pPr>
    </w:p>
    <w:p w14:paraId="703980EA">
      <w:pPr>
        <w:ind w:firstLine="420"/>
        <w:jc w:val="left"/>
        <w:rPr>
          <w:rFonts w:ascii="Arial" w:hAnsi="Arial" w:eastAsia="宋体" w:cs="Arial"/>
          <w:sz w:val="24"/>
          <w:shd w:val="clear" w:color="auto" w:fill="FFFFFF"/>
        </w:rPr>
      </w:pPr>
    </w:p>
    <w:p w14:paraId="691386B8">
      <w:pPr>
        <w:ind w:firstLine="420"/>
        <w:jc w:val="left"/>
        <w:rPr>
          <w:rFonts w:ascii="Arial" w:hAnsi="Arial" w:eastAsia="宋体" w:cs="Arial"/>
          <w:sz w:val="24"/>
          <w:shd w:val="clear" w:color="auto" w:fill="FFFFFF"/>
        </w:rPr>
      </w:pPr>
    </w:p>
    <w:p w14:paraId="2D242879">
      <w:pPr>
        <w:ind w:firstLine="420"/>
        <w:jc w:val="left"/>
        <w:rPr>
          <w:rFonts w:ascii="Arial" w:hAnsi="Arial" w:eastAsia="宋体" w:cs="Arial"/>
          <w:sz w:val="24"/>
          <w:shd w:val="clear" w:color="auto" w:fill="FFFFFF"/>
        </w:rPr>
      </w:pPr>
    </w:p>
    <w:p w14:paraId="5F316573">
      <w:pPr>
        <w:ind w:firstLine="420"/>
        <w:jc w:val="left"/>
        <w:rPr>
          <w:rFonts w:ascii="Arial" w:hAnsi="Arial" w:eastAsia="宋体" w:cs="Arial"/>
          <w:sz w:val="24"/>
          <w:shd w:val="clear" w:color="auto" w:fill="FFFFFF"/>
        </w:rPr>
      </w:pPr>
    </w:p>
    <w:p w14:paraId="050DCF2A">
      <w:pPr>
        <w:ind w:firstLine="420"/>
        <w:jc w:val="left"/>
        <w:rPr>
          <w:rFonts w:ascii="Arial" w:hAnsi="Arial" w:eastAsia="宋体" w:cs="Arial"/>
          <w:sz w:val="24"/>
          <w:shd w:val="clear" w:color="auto" w:fill="FFFFFF"/>
        </w:rPr>
      </w:pPr>
    </w:p>
    <w:p w14:paraId="7DD11E53">
      <w:pPr>
        <w:ind w:firstLine="420"/>
        <w:jc w:val="left"/>
        <w:rPr>
          <w:rFonts w:ascii="Arial" w:hAnsi="Arial" w:eastAsia="宋体" w:cs="Arial"/>
          <w:sz w:val="24"/>
          <w:shd w:val="clear" w:color="auto" w:fill="FFFFFF"/>
        </w:rPr>
      </w:pPr>
    </w:p>
    <w:p w14:paraId="5A854C76">
      <w:pPr>
        <w:ind w:firstLine="420"/>
        <w:jc w:val="left"/>
        <w:rPr>
          <w:rFonts w:ascii="Arial" w:hAnsi="Arial" w:eastAsia="宋体" w:cs="Arial"/>
          <w:sz w:val="24"/>
          <w:shd w:val="clear" w:color="auto" w:fill="FFFFFF"/>
        </w:rPr>
      </w:pPr>
    </w:p>
    <w:p w14:paraId="46D343E0">
      <w:pPr>
        <w:ind w:firstLine="420"/>
        <w:jc w:val="left"/>
        <w:rPr>
          <w:rFonts w:ascii="Arial" w:hAnsi="Arial" w:eastAsia="宋体" w:cs="Arial"/>
          <w:sz w:val="24"/>
          <w:shd w:val="clear" w:color="auto" w:fill="FFFFFF"/>
        </w:rPr>
      </w:pPr>
    </w:p>
    <w:p w14:paraId="31DFCFA1">
      <w:pPr>
        <w:ind w:firstLine="420"/>
        <w:jc w:val="left"/>
        <w:rPr>
          <w:rFonts w:ascii="Arial" w:hAnsi="Arial" w:eastAsia="宋体" w:cs="Arial"/>
          <w:sz w:val="24"/>
          <w:shd w:val="clear" w:color="auto" w:fill="FFFFFF"/>
        </w:rPr>
      </w:pPr>
    </w:p>
    <w:p w14:paraId="722D1280">
      <w:pPr>
        <w:ind w:firstLine="420"/>
        <w:jc w:val="left"/>
        <w:rPr>
          <w:rFonts w:ascii="Arial" w:hAnsi="Arial" w:eastAsia="宋体" w:cs="Arial"/>
          <w:sz w:val="24"/>
          <w:shd w:val="clear" w:color="auto" w:fill="FFFFFF"/>
        </w:rPr>
      </w:pPr>
    </w:p>
    <w:p w14:paraId="462BAF7C">
      <w:pPr>
        <w:ind w:firstLine="420"/>
        <w:jc w:val="left"/>
        <w:rPr>
          <w:rFonts w:ascii="Arial" w:hAnsi="Arial" w:eastAsia="宋体" w:cs="Arial"/>
          <w:sz w:val="24"/>
          <w:shd w:val="clear" w:color="auto" w:fill="FFFFFF"/>
        </w:rPr>
      </w:pPr>
    </w:p>
    <w:p w14:paraId="14F812F9">
      <w:pPr>
        <w:ind w:firstLine="420"/>
        <w:jc w:val="left"/>
        <w:rPr>
          <w:rFonts w:ascii="Arial" w:hAnsi="Arial" w:eastAsia="宋体" w:cs="Arial"/>
          <w:sz w:val="24"/>
          <w:shd w:val="clear" w:color="auto" w:fill="FFFFFF"/>
        </w:rPr>
      </w:pPr>
    </w:p>
    <w:p w14:paraId="0BFC95A7">
      <w:pPr>
        <w:ind w:firstLine="420"/>
        <w:jc w:val="left"/>
        <w:rPr>
          <w:rFonts w:ascii="Arial" w:hAnsi="Arial" w:eastAsia="宋体" w:cs="Arial"/>
          <w:sz w:val="24"/>
          <w:shd w:val="clear" w:color="auto" w:fill="FFFFFF"/>
        </w:rPr>
      </w:pPr>
    </w:p>
    <w:p w14:paraId="7405EE2C">
      <w:pPr>
        <w:ind w:firstLine="420"/>
        <w:jc w:val="left"/>
        <w:rPr>
          <w:rFonts w:ascii="Arial" w:hAnsi="Arial" w:eastAsia="宋体" w:cs="Arial"/>
          <w:sz w:val="24"/>
          <w:shd w:val="clear" w:color="auto" w:fill="FFFFFF"/>
        </w:rPr>
      </w:pPr>
    </w:p>
    <w:p w14:paraId="228F0B44">
      <w:pPr>
        <w:ind w:firstLine="420"/>
        <w:jc w:val="left"/>
        <w:rPr>
          <w:rFonts w:ascii="Arial" w:hAnsi="Arial" w:eastAsia="宋体" w:cs="Arial"/>
          <w:sz w:val="24"/>
          <w:shd w:val="clear" w:color="auto" w:fill="FFFFFF"/>
        </w:rPr>
      </w:pPr>
    </w:p>
    <w:p w14:paraId="64AFFE27">
      <w:pPr>
        <w:ind w:firstLine="420"/>
        <w:jc w:val="left"/>
        <w:rPr>
          <w:rFonts w:ascii="Arial" w:hAnsi="Arial" w:eastAsia="宋体" w:cs="Arial"/>
          <w:sz w:val="24"/>
          <w:shd w:val="clear" w:color="auto" w:fill="FFFFFF"/>
        </w:rPr>
      </w:pPr>
    </w:p>
    <w:p w14:paraId="4EB5FED3">
      <w:pPr>
        <w:ind w:firstLine="420"/>
        <w:jc w:val="left"/>
        <w:rPr>
          <w:rFonts w:ascii="Arial" w:hAnsi="Arial" w:eastAsia="宋体" w:cs="Arial"/>
          <w:sz w:val="24"/>
          <w:shd w:val="clear" w:color="auto" w:fill="FFFFFF"/>
        </w:rPr>
      </w:pPr>
    </w:p>
    <w:p w14:paraId="36FDCAA1">
      <w:pPr>
        <w:ind w:firstLine="420"/>
        <w:jc w:val="left"/>
        <w:rPr>
          <w:rFonts w:ascii="Arial" w:hAnsi="Arial" w:eastAsia="宋体" w:cs="Arial"/>
          <w:sz w:val="24"/>
          <w:shd w:val="clear" w:color="auto" w:fill="FFFFFF"/>
        </w:rPr>
      </w:pPr>
    </w:p>
    <w:p w14:paraId="4153647F">
      <w:pPr>
        <w:ind w:firstLine="420"/>
        <w:jc w:val="left"/>
        <w:rPr>
          <w:rFonts w:ascii="Arial" w:hAnsi="Arial" w:eastAsia="宋体" w:cs="Arial"/>
          <w:sz w:val="24"/>
          <w:shd w:val="clear" w:color="auto" w:fill="FFFFFF"/>
        </w:rPr>
      </w:pPr>
    </w:p>
    <w:p w14:paraId="37432618">
      <w:pPr>
        <w:ind w:firstLine="420"/>
        <w:jc w:val="left"/>
        <w:rPr>
          <w:rFonts w:ascii="Arial" w:hAnsi="Arial" w:eastAsia="宋体" w:cs="Arial"/>
          <w:sz w:val="24"/>
          <w:shd w:val="clear" w:color="auto" w:fill="FFFFFF"/>
        </w:rPr>
      </w:pPr>
    </w:p>
    <w:p w14:paraId="261924E9">
      <w:pPr>
        <w:ind w:firstLine="420"/>
        <w:jc w:val="left"/>
        <w:rPr>
          <w:rFonts w:ascii="Arial" w:hAnsi="Arial" w:eastAsia="宋体" w:cs="Arial"/>
          <w:sz w:val="24"/>
          <w:shd w:val="clear" w:color="auto" w:fill="FFFFFF"/>
        </w:rPr>
      </w:pPr>
    </w:p>
    <w:p w14:paraId="2DA9CF58">
      <w:pPr>
        <w:ind w:firstLine="420"/>
        <w:jc w:val="left"/>
        <w:rPr>
          <w:rFonts w:ascii="Arial" w:hAnsi="Arial" w:eastAsia="宋体" w:cs="Arial"/>
          <w:sz w:val="24"/>
          <w:shd w:val="clear" w:color="auto" w:fill="FFFFFF"/>
        </w:rPr>
      </w:pPr>
    </w:p>
    <w:p w14:paraId="66842E7F">
      <w:pPr>
        <w:ind w:firstLine="420"/>
        <w:jc w:val="left"/>
        <w:rPr>
          <w:rFonts w:ascii="Arial" w:hAnsi="Arial" w:eastAsia="宋体" w:cs="Arial"/>
          <w:sz w:val="24"/>
          <w:shd w:val="clear" w:color="auto" w:fill="FFFFFF"/>
        </w:rPr>
      </w:pPr>
      <w:bookmarkStart w:id="0" w:name="_GoBack"/>
      <w:bookmarkEnd w:id="0"/>
      <w:r>
        <w:rPr>
          <w:rFonts w:ascii="Arial" w:hAnsi="Arial" w:eastAsia="宋体" w:cs="Arial"/>
          <w:sz w:val="24"/>
          <w:shd w:val="clear" w:color="auto" w:fill="FFFFFF"/>
        </w:rPr>
        <w:drawing>
          <wp:anchor distT="0" distB="0" distL="114300" distR="114300" simplePos="0" relativeHeight="251661312" behindDoc="0" locked="0" layoutInCell="1" allowOverlap="1">
            <wp:simplePos x="0" y="0"/>
            <wp:positionH relativeFrom="column">
              <wp:posOffset>2518410</wp:posOffset>
            </wp:positionH>
            <wp:positionV relativeFrom="paragraph">
              <wp:posOffset>16510</wp:posOffset>
            </wp:positionV>
            <wp:extent cx="1966595" cy="1961515"/>
            <wp:effectExtent l="0" t="0" r="14605" b="4445"/>
            <wp:wrapNone/>
            <wp:docPr id="8" name="图片 8" descr="174672386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46723861898"/>
                    <pic:cNvPicPr>
                      <a:picLocks noChangeAspect="1"/>
                    </pic:cNvPicPr>
                  </pic:nvPicPr>
                  <pic:blipFill>
                    <a:blip r:embed="rId6"/>
                    <a:stretch>
                      <a:fillRect/>
                    </a:stretch>
                  </pic:blipFill>
                  <pic:spPr>
                    <a:xfrm>
                      <a:off x="0" y="0"/>
                      <a:ext cx="1966595" cy="1961515"/>
                    </a:xfrm>
                    <a:prstGeom prst="rect">
                      <a:avLst/>
                    </a:prstGeom>
                  </pic:spPr>
                </pic:pic>
              </a:graphicData>
            </a:graphic>
          </wp:anchor>
        </w:drawing>
      </w:r>
      <w:r>
        <w:rPr>
          <w:rFonts w:ascii="Arial" w:hAnsi="Arial" w:eastAsia="宋体" w:cs="Arial"/>
          <w:sz w:val="24"/>
          <w:shd w:val="clear" w:color="auto" w:fill="FFFFFF"/>
        </w:rPr>
        <w:drawing>
          <wp:anchor distT="0" distB="0" distL="114300" distR="114300" simplePos="0" relativeHeight="251668480" behindDoc="0" locked="0" layoutInCell="1" allowOverlap="1">
            <wp:simplePos x="0" y="0"/>
            <wp:positionH relativeFrom="column">
              <wp:posOffset>342900</wp:posOffset>
            </wp:positionH>
            <wp:positionV relativeFrom="paragraph">
              <wp:posOffset>2540</wp:posOffset>
            </wp:positionV>
            <wp:extent cx="1981200" cy="1966595"/>
            <wp:effectExtent l="0" t="0" r="0" b="14605"/>
            <wp:wrapNone/>
            <wp:docPr id="2" name="图片 2" descr="174672378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6723787319"/>
                    <pic:cNvPicPr>
                      <a:picLocks noChangeAspect="1"/>
                    </pic:cNvPicPr>
                  </pic:nvPicPr>
                  <pic:blipFill>
                    <a:blip r:embed="rId7"/>
                    <a:stretch>
                      <a:fillRect/>
                    </a:stretch>
                  </pic:blipFill>
                  <pic:spPr>
                    <a:xfrm>
                      <a:off x="0" y="0"/>
                      <a:ext cx="1981200" cy="1966595"/>
                    </a:xfrm>
                    <a:prstGeom prst="rect">
                      <a:avLst/>
                    </a:prstGeom>
                  </pic:spPr>
                </pic:pic>
              </a:graphicData>
            </a:graphic>
          </wp:anchor>
        </w:drawing>
      </w:r>
    </w:p>
    <w:p w14:paraId="77F89B92">
      <w:pPr>
        <w:ind w:firstLine="420"/>
        <w:jc w:val="left"/>
        <w:rPr>
          <w:rFonts w:ascii="Arial" w:hAnsi="Arial" w:eastAsia="宋体" w:cs="Arial"/>
          <w:sz w:val="24"/>
          <w:shd w:val="clear" w:color="auto" w:fill="FFFFFF"/>
        </w:rPr>
      </w:pPr>
    </w:p>
    <w:p w14:paraId="17751D4A">
      <w:pPr>
        <w:ind w:firstLine="420"/>
        <w:jc w:val="left"/>
        <w:rPr>
          <w:rFonts w:ascii="Arial" w:hAnsi="Arial" w:eastAsia="宋体" w:cs="Arial"/>
          <w:sz w:val="24"/>
          <w:shd w:val="clear" w:color="auto" w:fill="FFFFFF"/>
        </w:rPr>
      </w:pPr>
    </w:p>
    <w:p w14:paraId="02F14D12">
      <w:pPr>
        <w:ind w:firstLine="420"/>
        <w:jc w:val="left"/>
        <w:rPr>
          <w:rFonts w:ascii="Arial" w:hAnsi="Arial" w:eastAsia="宋体" w:cs="Arial"/>
          <w:sz w:val="24"/>
          <w:shd w:val="clear" w:color="auto" w:fill="FFFFFF"/>
        </w:rPr>
      </w:pPr>
    </w:p>
    <w:p w14:paraId="7E264CF4">
      <w:pPr>
        <w:ind w:firstLine="420"/>
        <w:jc w:val="left"/>
        <w:rPr>
          <w:rFonts w:ascii="Arial" w:hAnsi="Arial" w:eastAsia="宋体" w:cs="Arial"/>
          <w:sz w:val="24"/>
          <w:shd w:val="clear" w:color="auto" w:fill="FFFFFF"/>
        </w:rPr>
      </w:pPr>
    </w:p>
    <w:p w14:paraId="1E632D4C">
      <w:pPr>
        <w:ind w:firstLine="420"/>
        <w:jc w:val="left"/>
        <w:rPr>
          <w:rFonts w:ascii="Arial" w:hAnsi="Arial" w:eastAsia="宋体" w:cs="Arial"/>
          <w:sz w:val="24"/>
          <w:shd w:val="clear" w:color="auto" w:fill="FFFFFF"/>
        </w:rPr>
      </w:pPr>
    </w:p>
    <w:p w14:paraId="5DCD825E">
      <w:pPr>
        <w:ind w:firstLine="420"/>
        <w:jc w:val="left"/>
        <w:rPr>
          <w:rFonts w:ascii="Arial" w:hAnsi="Arial" w:eastAsia="宋体" w:cs="Arial"/>
          <w:sz w:val="24"/>
          <w:shd w:val="clear" w:color="auto" w:fill="FFFFFF"/>
        </w:rPr>
      </w:pPr>
    </w:p>
    <w:p w14:paraId="300F2E1C">
      <w:pPr>
        <w:ind w:firstLine="420"/>
        <w:jc w:val="left"/>
        <w:rPr>
          <w:rFonts w:ascii="Arial" w:hAnsi="Arial" w:eastAsia="宋体" w:cs="Arial"/>
          <w:sz w:val="24"/>
          <w:shd w:val="clear" w:color="auto" w:fill="FFFFFF"/>
        </w:rPr>
      </w:pPr>
      <w:r>
        <w:rPr>
          <w:rFonts w:ascii="Arial" w:hAnsi="Arial" w:eastAsia="宋体" w:cs="Arial"/>
          <w:sz w:val="24"/>
          <w:shd w:val="clear" w:color="auto" w:fill="FFFFFF"/>
        </w:rPr>
        <w:drawing>
          <wp:anchor distT="0" distB="0" distL="114300" distR="114300" simplePos="0" relativeHeight="251663360" behindDoc="0" locked="0" layoutInCell="1" allowOverlap="1">
            <wp:simplePos x="0" y="0"/>
            <wp:positionH relativeFrom="column">
              <wp:posOffset>-3810</wp:posOffset>
            </wp:positionH>
            <wp:positionV relativeFrom="paragraph">
              <wp:posOffset>138430</wp:posOffset>
            </wp:positionV>
            <wp:extent cx="2193925" cy="2225675"/>
            <wp:effectExtent l="0" t="0" r="635" b="14605"/>
            <wp:wrapNone/>
            <wp:docPr id="9" name="图片 9" descr="174672389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46723894766"/>
                    <pic:cNvPicPr>
                      <a:picLocks noChangeAspect="1"/>
                    </pic:cNvPicPr>
                  </pic:nvPicPr>
                  <pic:blipFill>
                    <a:blip r:embed="rId8"/>
                    <a:stretch>
                      <a:fillRect/>
                    </a:stretch>
                  </pic:blipFill>
                  <pic:spPr>
                    <a:xfrm>
                      <a:off x="0" y="0"/>
                      <a:ext cx="2193925" cy="2225675"/>
                    </a:xfrm>
                    <a:prstGeom prst="rect">
                      <a:avLst/>
                    </a:prstGeom>
                  </pic:spPr>
                </pic:pic>
              </a:graphicData>
            </a:graphic>
          </wp:anchor>
        </w:drawing>
      </w:r>
    </w:p>
    <w:p w14:paraId="5168B978">
      <w:pPr>
        <w:ind w:firstLine="420"/>
        <w:jc w:val="left"/>
        <w:rPr>
          <w:rFonts w:ascii="Arial" w:hAnsi="Arial" w:eastAsia="宋体" w:cs="Arial"/>
          <w:sz w:val="24"/>
          <w:shd w:val="clear" w:color="auto" w:fill="FFFFFF"/>
        </w:rPr>
      </w:pPr>
      <w:r>
        <w:rPr>
          <w:rFonts w:ascii="Arial" w:hAnsi="Arial" w:eastAsia="宋体" w:cs="Arial"/>
          <w:sz w:val="24"/>
          <w:shd w:val="clear" w:color="auto" w:fill="FFFFFF"/>
        </w:rPr>
        <w:drawing>
          <wp:anchor distT="0" distB="0" distL="114300" distR="114300" simplePos="0" relativeHeight="251662336" behindDoc="0" locked="0" layoutInCell="1" allowOverlap="1">
            <wp:simplePos x="0" y="0"/>
            <wp:positionH relativeFrom="column">
              <wp:posOffset>2625090</wp:posOffset>
            </wp:positionH>
            <wp:positionV relativeFrom="paragraph">
              <wp:posOffset>41910</wp:posOffset>
            </wp:positionV>
            <wp:extent cx="2095500" cy="2095500"/>
            <wp:effectExtent l="0" t="0" r="7620" b="7620"/>
            <wp:wrapNone/>
            <wp:docPr id="7" name="图片 7" descr="174672382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6723823370"/>
                    <pic:cNvPicPr>
                      <a:picLocks noChangeAspect="1"/>
                    </pic:cNvPicPr>
                  </pic:nvPicPr>
                  <pic:blipFill>
                    <a:blip r:embed="rId9"/>
                    <a:stretch>
                      <a:fillRect/>
                    </a:stretch>
                  </pic:blipFill>
                  <pic:spPr>
                    <a:xfrm>
                      <a:off x="0" y="0"/>
                      <a:ext cx="2095500" cy="2095500"/>
                    </a:xfrm>
                    <a:prstGeom prst="rect">
                      <a:avLst/>
                    </a:prstGeom>
                  </pic:spPr>
                </pic:pic>
              </a:graphicData>
            </a:graphic>
          </wp:anchor>
        </w:drawing>
      </w:r>
    </w:p>
    <w:p w14:paraId="39A00D81">
      <w:pPr>
        <w:ind w:firstLine="420"/>
        <w:jc w:val="left"/>
        <w:rPr>
          <w:rFonts w:ascii="Arial" w:hAnsi="Arial" w:eastAsia="宋体" w:cs="Arial"/>
          <w:sz w:val="24"/>
          <w:shd w:val="clear" w:color="auto" w:fill="FFFFFF"/>
        </w:rPr>
      </w:pPr>
    </w:p>
    <w:p w14:paraId="4C32F0B1">
      <w:pPr>
        <w:ind w:firstLine="420"/>
        <w:jc w:val="left"/>
        <w:rPr>
          <w:rFonts w:ascii="Arial" w:hAnsi="Arial" w:eastAsia="宋体" w:cs="Arial"/>
          <w:sz w:val="24"/>
          <w:shd w:val="clear" w:color="auto" w:fill="FFFFFF"/>
        </w:rPr>
      </w:pPr>
    </w:p>
    <w:p w14:paraId="5948A68B">
      <w:pPr>
        <w:ind w:firstLine="420"/>
        <w:jc w:val="left"/>
        <w:rPr>
          <w:rFonts w:ascii="Arial" w:hAnsi="Arial" w:eastAsia="宋体" w:cs="Arial"/>
          <w:sz w:val="24"/>
          <w:shd w:val="clear" w:color="auto" w:fill="FFFFFF"/>
        </w:rPr>
      </w:pPr>
    </w:p>
    <w:p w14:paraId="532A0015">
      <w:pPr>
        <w:ind w:firstLine="420"/>
        <w:jc w:val="left"/>
        <w:rPr>
          <w:rFonts w:ascii="Arial" w:hAnsi="Arial" w:eastAsia="宋体" w:cs="Arial"/>
          <w:sz w:val="24"/>
          <w:shd w:val="clear" w:color="auto" w:fill="FFFFFF"/>
        </w:rPr>
      </w:pPr>
    </w:p>
    <w:p w14:paraId="0D51FA73">
      <w:pPr>
        <w:ind w:firstLine="420"/>
        <w:jc w:val="left"/>
        <w:rPr>
          <w:rFonts w:ascii="Arial" w:hAnsi="Arial" w:eastAsia="宋体" w:cs="Arial"/>
          <w:sz w:val="24"/>
          <w:shd w:val="clear" w:color="auto" w:fill="FFFFFF"/>
        </w:rPr>
      </w:pPr>
    </w:p>
    <w:p w14:paraId="1D01D8EF">
      <w:pPr>
        <w:ind w:firstLine="420"/>
        <w:jc w:val="left"/>
        <w:rPr>
          <w:rFonts w:ascii="Arial" w:hAnsi="Arial" w:eastAsia="宋体" w:cs="Arial"/>
          <w:sz w:val="24"/>
          <w:shd w:val="clear" w:color="auto" w:fill="FFFFFF"/>
        </w:rPr>
      </w:pPr>
    </w:p>
    <w:p w14:paraId="6AEC036A">
      <w:pPr>
        <w:ind w:firstLine="420"/>
        <w:jc w:val="left"/>
        <w:rPr>
          <w:rFonts w:ascii="Arial" w:hAnsi="Arial" w:eastAsia="宋体" w:cs="Arial"/>
          <w:sz w:val="24"/>
          <w:shd w:val="clear" w:color="auto" w:fill="FFFFFF"/>
        </w:rPr>
      </w:pPr>
    </w:p>
    <w:p w14:paraId="7B4BFB5B">
      <w:pPr>
        <w:ind w:firstLine="420"/>
        <w:jc w:val="left"/>
        <w:rPr>
          <w:rFonts w:ascii="Arial" w:hAnsi="Arial" w:eastAsia="宋体" w:cs="Arial"/>
          <w:sz w:val="24"/>
          <w:shd w:val="clear" w:color="auto" w:fill="FFFFFF"/>
        </w:rPr>
      </w:pPr>
    </w:p>
    <w:p w14:paraId="69B314CC">
      <w:pPr>
        <w:ind w:firstLine="420"/>
        <w:jc w:val="left"/>
        <w:rPr>
          <w:rFonts w:ascii="Arial" w:hAnsi="Arial" w:eastAsia="宋体" w:cs="Arial"/>
          <w:sz w:val="24"/>
          <w:shd w:val="clear" w:color="auto" w:fill="FFFFFF"/>
        </w:rPr>
      </w:pPr>
    </w:p>
    <w:p w14:paraId="2A9367F5">
      <w:pPr>
        <w:ind w:firstLine="420"/>
        <w:jc w:val="left"/>
        <w:rPr>
          <w:rFonts w:ascii="Arial" w:hAnsi="Arial" w:eastAsia="宋体" w:cs="Arial"/>
          <w:sz w:val="24"/>
          <w:shd w:val="clear" w:color="auto" w:fill="FFFFFF"/>
        </w:rPr>
      </w:pPr>
    </w:p>
    <w:p w14:paraId="0A5ED6E9">
      <w:pPr>
        <w:ind w:firstLine="420"/>
        <w:jc w:val="left"/>
        <w:rPr>
          <w:rFonts w:ascii="Arial" w:hAnsi="Arial" w:eastAsia="宋体" w:cs="Arial"/>
          <w:sz w:val="24"/>
          <w:shd w:val="clear" w:color="auto" w:fill="FFFFFF"/>
        </w:rPr>
      </w:pPr>
    </w:p>
    <w:p w14:paraId="7FD95A11">
      <w:pPr>
        <w:ind w:firstLine="420"/>
        <w:jc w:val="left"/>
        <w:rPr>
          <w:rFonts w:ascii="Arial" w:hAnsi="Arial" w:eastAsia="宋体" w:cs="Arial"/>
          <w:sz w:val="24"/>
          <w:shd w:val="clear" w:color="auto" w:fill="FFFFFF"/>
        </w:rPr>
      </w:pPr>
      <w:r>
        <w:rPr>
          <w:rFonts w:ascii="Arial" w:hAnsi="Arial" w:eastAsia="宋体" w:cs="Arial"/>
          <w:sz w:val="24"/>
          <w:shd w:val="clear" w:color="auto" w:fill="FFFFFF"/>
        </w:rPr>
        <w:drawing>
          <wp:anchor distT="0" distB="0" distL="114300" distR="114300" simplePos="0" relativeHeight="251665408" behindDoc="0" locked="0" layoutInCell="1" allowOverlap="1">
            <wp:simplePos x="0" y="0"/>
            <wp:positionH relativeFrom="column">
              <wp:posOffset>2648585</wp:posOffset>
            </wp:positionH>
            <wp:positionV relativeFrom="paragraph">
              <wp:posOffset>195580</wp:posOffset>
            </wp:positionV>
            <wp:extent cx="2256790" cy="2245360"/>
            <wp:effectExtent l="0" t="0" r="13970" b="10160"/>
            <wp:wrapNone/>
            <wp:docPr id="10" name="图片 10" descr="174672400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46724003994"/>
                    <pic:cNvPicPr>
                      <a:picLocks noChangeAspect="1"/>
                    </pic:cNvPicPr>
                  </pic:nvPicPr>
                  <pic:blipFill>
                    <a:blip r:embed="rId10"/>
                    <a:stretch>
                      <a:fillRect/>
                    </a:stretch>
                  </pic:blipFill>
                  <pic:spPr>
                    <a:xfrm>
                      <a:off x="0" y="0"/>
                      <a:ext cx="2256790" cy="2245360"/>
                    </a:xfrm>
                    <a:prstGeom prst="rect">
                      <a:avLst/>
                    </a:prstGeom>
                  </pic:spPr>
                </pic:pic>
              </a:graphicData>
            </a:graphic>
          </wp:anchor>
        </w:drawing>
      </w:r>
      <w:r>
        <w:rPr>
          <w:rFonts w:ascii="Arial" w:hAnsi="Arial" w:eastAsia="宋体" w:cs="Arial"/>
          <w:sz w:val="24"/>
          <w:shd w:val="clear" w:color="auto" w:fill="FFFFFF"/>
        </w:rPr>
        <w:drawing>
          <wp:anchor distT="0" distB="0" distL="114300" distR="114300" simplePos="0" relativeHeight="251664384" behindDoc="0" locked="0" layoutInCell="1" allowOverlap="1">
            <wp:simplePos x="0" y="0"/>
            <wp:positionH relativeFrom="column">
              <wp:posOffset>-68580</wp:posOffset>
            </wp:positionH>
            <wp:positionV relativeFrom="paragraph">
              <wp:posOffset>142875</wp:posOffset>
            </wp:positionV>
            <wp:extent cx="2277745" cy="2294255"/>
            <wp:effectExtent l="0" t="0" r="8255" b="6985"/>
            <wp:wrapNone/>
            <wp:docPr id="1" name="图片 1" descr="1746723759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6723759775"/>
                    <pic:cNvPicPr>
                      <a:picLocks noChangeAspect="1"/>
                    </pic:cNvPicPr>
                  </pic:nvPicPr>
                  <pic:blipFill>
                    <a:blip r:embed="rId11"/>
                    <a:stretch>
                      <a:fillRect/>
                    </a:stretch>
                  </pic:blipFill>
                  <pic:spPr>
                    <a:xfrm>
                      <a:off x="0" y="0"/>
                      <a:ext cx="2277745" cy="2294255"/>
                    </a:xfrm>
                    <a:prstGeom prst="rect">
                      <a:avLst/>
                    </a:prstGeom>
                  </pic:spPr>
                </pic:pic>
              </a:graphicData>
            </a:graphic>
          </wp:anchor>
        </w:drawing>
      </w:r>
    </w:p>
    <w:p w14:paraId="28FADCA5">
      <w:pPr>
        <w:ind w:firstLine="420"/>
        <w:jc w:val="left"/>
        <w:rPr>
          <w:rFonts w:ascii="Arial" w:hAnsi="Arial" w:eastAsia="宋体" w:cs="Arial"/>
          <w:sz w:val="24"/>
          <w:shd w:val="clear" w:color="auto" w:fill="FFFFFF"/>
        </w:rPr>
      </w:pPr>
    </w:p>
    <w:p w14:paraId="62B69515">
      <w:pPr>
        <w:ind w:firstLine="420"/>
        <w:jc w:val="left"/>
        <w:rPr>
          <w:rFonts w:ascii="Arial" w:hAnsi="Arial" w:eastAsia="宋体" w:cs="Arial"/>
          <w:sz w:val="24"/>
          <w:shd w:val="clear" w:color="auto" w:fill="FFFFFF"/>
        </w:rPr>
      </w:pPr>
    </w:p>
    <w:p w14:paraId="62B18232">
      <w:pPr>
        <w:ind w:firstLine="420"/>
        <w:jc w:val="left"/>
        <w:rPr>
          <w:rFonts w:ascii="Arial" w:hAnsi="Arial" w:eastAsia="宋体" w:cs="Arial"/>
          <w:sz w:val="24"/>
          <w:shd w:val="clear" w:color="auto" w:fill="FFFFFF"/>
        </w:rPr>
      </w:pPr>
    </w:p>
    <w:p w14:paraId="7DD3737C">
      <w:pPr>
        <w:ind w:firstLine="420"/>
        <w:jc w:val="left"/>
        <w:rPr>
          <w:rFonts w:ascii="Arial" w:hAnsi="Arial" w:eastAsia="宋体" w:cs="Arial"/>
          <w:sz w:val="24"/>
          <w:shd w:val="clear" w:color="auto" w:fill="FFFFFF"/>
        </w:rPr>
      </w:pPr>
    </w:p>
    <w:p w14:paraId="51179430">
      <w:pPr>
        <w:ind w:firstLine="420"/>
        <w:jc w:val="left"/>
        <w:rPr>
          <w:rFonts w:ascii="Arial" w:hAnsi="Arial" w:eastAsia="宋体" w:cs="Arial"/>
          <w:sz w:val="24"/>
          <w:shd w:val="clear" w:color="auto" w:fill="FFFFFF"/>
        </w:rPr>
      </w:pPr>
    </w:p>
    <w:p w14:paraId="22566611">
      <w:pPr>
        <w:ind w:firstLine="420"/>
        <w:jc w:val="left"/>
        <w:rPr>
          <w:rFonts w:ascii="Arial" w:hAnsi="Arial" w:eastAsia="宋体" w:cs="Arial"/>
          <w:sz w:val="24"/>
          <w:shd w:val="clear" w:color="auto" w:fill="FFFFFF"/>
        </w:rPr>
      </w:pPr>
    </w:p>
    <w:p w14:paraId="4D38D5AB">
      <w:pPr>
        <w:ind w:firstLine="420"/>
        <w:jc w:val="left"/>
        <w:rPr>
          <w:rFonts w:ascii="Arial" w:hAnsi="Arial" w:eastAsia="宋体" w:cs="Arial"/>
          <w:sz w:val="24"/>
          <w:shd w:val="clear" w:color="auto" w:fill="FFFFFF"/>
        </w:rPr>
      </w:pPr>
    </w:p>
    <w:p w14:paraId="7F5ED967">
      <w:pPr>
        <w:ind w:firstLine="420"/>
        <w:jc w:val="left"/>
        <w:rPr>
          <w:rFonts w:ascii="Arial" w:hAnsi="Arial" w:eastAsia="宋体" w:cs="Arial"/>
          <w:sz w:val="24"/>
          <w:shd w:val="clear" w:color="auto" w:fill="FFFFFF"/>
        </w:rPr>
      </w:pPr>
    </w:p>
    <w:p w14:paraId="5B0D0E03">
      <w:pPr>
        <w:ind w:firstLine="420"/>
        <w:jc w:val="left"/>
        <w:rPr>
          <w:rFonts w:ascii="Arial" w:hAnsi="Arial" w:eastAsia="宋体" w:cs="Arial"/>
          <w:sz w:val="24"/>
          <w:shd w:val="clear" w:color="auto" w:fill="FFFFFF"/>
        </w:rPr>
      </w:pPr>
    </w:p>
    <w:p w14:paraId="132CEDF1">
      <w:pPr>
        <w:ind w:firstLine="420"/>
        <w:jc w:val="left"/>
        <w:rPr>
          <w:rFonts w:ascii="Arial" w:hAnsi="Arial" w:eastAsia="宋体" w:cs="Arial"/>
          <w:sz w:val="24"/>
          <w:shd w:val="clear" w:color="auto" w:fill="FFFFFF"/>
        </w:rPr>
      </w:pPr>
    </w:p>
    <w:p w14:paraId="2CF6CA05">
      <w:pPr>
        <w:ind w:firstLine="420"/>
        <w:jc w:val="left"/>
        <w:rPr>
          <w:rFonts w:ascii="Arial" w:hAnsi="Arial" w:eastAsia="宋体" w:cs="Arial"/>
          <w:sz w:val="24"/>
          <w:shd w:val="clear" w:color="auto" w:fill="FFFFFF"/>
        </w:rPr>
      </w:pPr>
    </w:p>
    <w:p w14:paraId="220808F6">
      <w:pPr>
        <w:ind w:firstLine="420"/>
        <w:jc w:val="left"/>
        <w:rPr>
          <w:rFonts w:ascii="Arial" w:hAnsi="Arial" w:eastAsia="宋体" w:cs="Arial"/>
          <w:sz w:val="24"/>
          <w:shd w:val="clear" w:color="auto" w:fill="FFFFFF"/>
        </w:rPr>
      </w:pPr>
    </w:p>
    <w:p w14:paraId="704183FC">
      <w:pPr>
        <w:ind w:firstLine="420"/>
        <w:jc w:val="left"/>
        <w:rPr>
          <w:rFonts w:ascii="Arial" w:hAnsi="Arial" w:eastAsia="宋体" w:cs="Arial"/>
          <w:sz w:val="24"/>
          <w:shd w:val="clear" w:color="auto" w:fill="FFFFFF"/>
        </w:rPr>
      </w:pPr>
    </w:p>
    <w:p w14:paraId="336143B5">
      <w:pPr>
        <w:ind w:firstLine="420"/>
        <w:jc w:val="left"/>
        <w:rPr>
          <w:rFonts w:ascii="Arial" w:hAnsi="Arial" w:eastAsia="宋体" w:cs="Arial"/>
          <w:sz w:val="24"/>
          <w:shd w:val="clear" w:color="auto" w:fill="FFFFFF"/>
        </w:rPr>
      </w:pPr>
      <w:r>
        <w:rPr>
          <w:rFonts w:ascii="Arial" w:hAnsi="Arial" w:eastAsia="宋体" w:cs="Arial"/>
          <w:sz w:val="24"/>
          <w:shd w:val="clear" w:color="auto" w:fill="FFFFFF"/>
        </w:rPr>
        <w:drawing>
          <wp:anchor distT="0" distB="0" distL="114300" distR="114300" simplePos="0" relativeHeight="251667456" behindDoc="0" locked="0" layoutInCell="1" allowOverlap="1">
            <wp:simplePos x="0" y="0"/>
            <wp:positionH relativeFrom="column">
              <wp:posOffset>2642870</wp:posOffset>
            </wp:positionH>
            <wp:positionV relativeFrom="paragraph">
              <wp:posOffset>21590</wp:posOffset>
            </wp:positionV>
            <wp:extent cx="2230120" cy="2199005"/>
            <wp:effectExtent l="0" t="0" r="10160" b="10795"/>
            <wp:wrapNone/>
            <wp:docPr id="12" name="图片 12" descr="174672476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46724761222"/>
                    <pic:cNvPicPr>
                      <a:picLocks noChangeAspect="1"/>
                    </pic:cNvPicPr>
                  </pic:nvPicPr>
                  <pic:blipFill>
                    <a:blip r:embed="rId12"/>
                    <a:stretch>
                      <a:fillRect/>
                    </a:stretch>
                  </pic:blipFill>
                  <pic:spPr>
                    <a:xfrm>
                      <a:off x="0" y="0"/>
                      <a:ext cx="2230120" cy="2199005"/>
                    </a:xfrm>
                    <a:prstGeom prst="rect">
                      <a:avLst/>
                    </a:prstGeom>
                  </pic:spPr>
                </pic:pic>
              </a:graphicData>
            </a:graphic>
          </wp:anchor>
        </w:drawing>
      </w:r>
      <w:r>
        <w:rPr>
          <w:rFonts w:ascii="Arial" w:hAnsi="Arial" w:eastAsia="宋体" w:cs="Arial"/>
          <w:sz w:val="24"/>
          <w:shd w:val="clear" w:color="auto" w:fill="FFFFFF"/>
        </w:rPr>
        <w:drawing>
          <wp:anchor distT="0" distB="0" distL="114300" distR="114300" simplePos="0" relativeHeight="251666432" behindDoc="0" locked="0" layoutInCell="1" allowOverlap="1">
            <wp:simplePos x="0" y="0"/>
            <wp:positionH relativeFrom="column">
              <wp:posOffset>-80645</wp:posOffset>
            </wp:positionH>
            <wp:positionV relativeFrom="paragraph">
              <wp:posOffset>34290</wp:posOffset>
            </wp:positionV>
            <wp:extent cx="2218055" cy="2157095"/>
            <wp:effectExtent l="0" t="0" r="6985" b="6985"/>
            <wp:wrapNone/>
            <wp:docPr id="11" name="图片 11" descr="174672451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46724518019"/>
                    <pic:cNvPicPr>
                      <a:picLocks noChangeAspect="1"/>
                    </pic:cNvPicPr>
                  </pic:nvPicPr>
                  <pic:blipFill>
                    <a:blip r:embed="rId13"/>
                    <a:stretch>
                      <a:fillRect/>
                    </a:stretch>
                  </pic:blipFill>
                  <pic:spPr>
                    <a:xfrm>
                      <a:off x="0" y="0"/>
                      <a:ext cx="2218055" cy="2157095"/>
                    </a:xfrm>
                    <a:prstGeom prst="rect">
                      <a:avLst/>
                    </a:prstGeom>
                  </pic:spPr>
                </pic:pic>
              </a:graphicData>
            </a:graphic>
          </wp:anchor>
        </w:drawing>
      </w:r>
    </w:p>
    <w:p w14:paraId="7B266535">
      <w:pPr>
        <w:ind w:firstLine="420"/>
        <w:jc w:val="left"/>
        <w:rPr>
          <w:rFonts w:ascii="Arial" w:hAnsi="Arial" w:eastAsia="宋体" w:cs="Arial"/>
          <w:sz w:val="24"/>
          <w:shd w:val="clear" w:color="auto" w:fill="FFFFFF"/>
        </w:rPr>
      </w:pPr>
    </w:p>
    <w:p w14:paraId="69399C37">
      <w:pPr>
        <w:ind w:firstLine="420"/>
        <w:jc w:val="left"/>
        <w:rPr>
          <w:rFonts w:ascii="Arial" w:hAnsi="Arial" w:eastAsia="宋体" w:cs="Arial"/>
          <w:sz w:val="24"/>
          <w:shd w:val="clear" w:color="auto" w:fill="FFFFFF"/>
        </w:rPr>
      </w:pPr>
    </w:p>
    <w:p w14:paraId="5DF4D0F0">
      <w:pPr>
        <w:ind w:firstLine="420"/>
        <w:jc w:val="left"/>
        <w:rPr>
          <w:rFonts w:ascii="Arial" w:hAnsi="Arial" w:eastAsia="宋体" w:cs="Arial"/>
          <w:sz w:val="24"/>
          <w:shd w:val="clear" w:color="auto" w:fill="FFFFFF"/>
        </w:rPr>
      </w:pPr>
    </w:p>
    <w:p w14:paraId="54B8BBF8">
      <w:pPr>
        <w:ind w:firstLine="420"/>
        <w:jc w:val="left"/>
        <w:rPr>
          <w:rFonts w:ascii="Arial" w:hAnsi="Arial" w:eastAsia="宋体" w:cs="Arial"/>
          <w:sz w:val="24"/>
          <w:shd w:val="clear" w:color="auto" w:fill="FFFFFF"/>
        </w:rPr>
      </w:pPr>
    </w:p>
    <w:p w14:paraId="75AA4C05">
      <w:pPr>
        <w:ind w:firstLine="420"/>
        <w:jc w:val="left"/>
        <w:rPr>
          <w:rFonts w:ascii="Arial" w:hAnsi="Arial" w:eastAsia="宋体" w:cs="Arial"/>
          <w:sz w:val="24"/>
          <w:shd w:val="clear" w:color="auto" w:fill="FFFFFF"/>
        </w:rPr>
      </w:pPr>
    </w:p>
    <w:p w14:paraId="132702E1">
      <w:pPr>
        <w:ind w:firstLine="420"/>
        <w:jc w:val="left"/>
        <w:rPr>
          <w:rFonts w:ascii="Arial" w:hAnsi="Arial" w:eastAsia="宋体" w:cs="Arial"/>
          <w:sz w:val="24"/>
          <w:shd w:val="clear" w:color="auto" w:fill="FFFFFF"/>
        </w:rPr>
      </w:pPr>
    </w:p>
    <w:p w14:paraId="1A6178CE">
      <w:pPr>
        <w:ind w:firstLine="420"/>
        <w:jc w:val="left"/>
        <w:rPr>
          <w:rFonts w:ascii="Arial" w:hAnsi="Arial" w:eastAsia="宋体" w:cs="Arial"/>
          <w:sz w:val="24"/>
          <w:shd w:val="clear" w:color="auto" w:fill="FFFFFF"/>
        </w:rPr>
      </w:pPr>
    </w:p>
    <w:p w14:paraId="73F651DA">
      <w:pPr>
        <w:ind w:firstLine="420"/>
        <w:jc w:val="left"/>
        <w:rPr>
          <w:rFonts w:ascii="Arial" w:hAnsi="Arial" w:eastAsia="宋体" w:cs="Arial"/>
          <w:sz w:val="24"/>
          <w:shd w:val="clear" w:color="auto" w:fill="FFFFFF"/>
        </w:rPr>
      </w:pPr>
    </w:p>
    <w:p w14:paraId="769653AE">
      <w:pPr>
        <w:ind w:firstLine="420"/>
        <w:jc w:val="left"/>
        <w:rPr>
          <w:rFonts w:ascii="Arial" w:hAnsi="Arial" w:eastAsia="宋体" w:cs="Arial"/>
          <w:sz w:val="24"/>
          <w:shd w:val="clear" w:color="auto" w:fill="FFFFFF"/>
        </w:rPr>
      </w:pPr>
    </w:p>
    <w:p w14:paraId="722BE561">
      <w:pPr>
        <w:ind w:firstLine="420"/>
        <w:jc w:val="left"/>
        <w:rPr>
          <w:rFonts w:ascii="Arial" w:hAnsi="Arial" w:eastAsia="宋体" w:cs="Arial"/>
          <w:sz w:val="24"/>
          <w:shd w:val="clear" w:color="auto" w:fill="FFFFFF"/>
        </w:rPr>
      </w:pPr>
    </w:p>
    <w:p w14:paraId="0E4C2D5E">
      <w:pPr>
        <w:ind w:firstLine="420"/>
        <w:jc w:val="left"/>
        <w:rPr>
          <w:rFonts w:ascii="Arial" w:hAnsi="Arial" w:eastAsia="宋体" w:cs="Arial"/>
          <w:sz w:val="24"/>
          <w:shd w:val="clear" w:color="auto" w:fill="FFFFFF"/>
        </w:rPr>
      </w:pPr>
    </w:p>
    <w:p w14:paraId="7359D853">
      <w:pPr>
        <w:ind w:firstLine="420"/>
        <w:jc w:val="left"/>
        <w:rPr>
          <w:rFonts w:ascii="Arial" w:hAnsi="Arial" w:eastAsia="宋体" w:cs="Arial"/>
          <w:sz w:val="24"/>
          <w:shd w:val="clear" w:color="auto" w:fill="FFFFFF"/>
        </w:rPr>
      </w:pPr>
    </w:p>
    <w:p w14:paraId="12B0F451">
      <w:pPr>
        <w:jc w:val="left"/>
        <w:rPr>
          <w:rFonts w:ascii="Arial" w:hAnsi="Times New Roman" w:eastAsia="Times New Roman" w:cs="Times New Roman"/>
          <w:sz w:val="24"/>
          <w:shd w:val="clear" w:color="auto" w:fill="FFFFFF"/>
        </w:rPr>
      </w:pPr>
      <w:r>
        <w:rPr>
          <w:rFonts w:hint="eastAsia" w:ascii="Arial" w:hAnsi="Times New Roman" w:eastAsia="Times New Roman" w:cs="Times New Roman"/>
          <w:sz w:val="24"/>
          <w:shd w:val="clear" w:color="auto" w:fill="FFFFFF"/>
        </w:rPr>
        <w:t>4.2</w:t>
      </w:r>
      <w:r>
        <w:rPr>
          <w:rFonts w:ascii="Arial" w:hAnsi="Times New Roman" w:eastAsia="Times New Roman" w:cs="Times New Roman"/>
          <w:sz w:val="24"/>
          <w:shd w:val="clear" w:color="auto" w:fill="FFFFFF"/>
        </w:rPr>
        <w:t xml:space="preserve">  This study is underpinned by three interrelated theoretical frameworks that collectively inform its methodology and critical analysis. The first is Visual </w:t>
      </w:r>
      <w:r>
        <w:rPr>
          <w:rFonts w:hint="eastAsia" w:ascii="Arial" w:hAnsi="Times New Roman" w:eastAsia="Times New Roman" w:cs="Times New Roman"/>
          <w:sz w:val="24"/>
          <w:shd w:val="clear" w:color="auto" w:fill="FFFFFF"/>
        </w:rPr>
        <w:t>Anthropology (</w:t>
      </w:r>
      <w:r>
        <w:rPr>
          <w:rFonts w:ascii="Arial" w:hAnsi="Times New Roman" w:eastAsia="Times New Roman" w:cs="Times New Roman"/>
          <w:sz w:val="24"/>
          <w:shd w:val="clear" w:color="auto" w:fill="FFFFFF"/>
        </w:rPr>
        <w:t xml:space="preserve">MacDougall, D. 2019, Pink, S. 2015), which integrates visual media into animated ethnographic documentation. </w:t>
      </w:r>
      <w:r>
        <w:rPr>
          <w:rFonts w:hint="eastAsia" w:ascii="Arial" w:hAnsi="Times New Roman" w:eastAsia="Times New Roman" w:cs="Times New Roman"/>
          <w:sz w:val="24"/>
          <w:shd w:val="clear" w:color="auto" w:fill="FFFFFF"/>
        </w:rPr>
        <w:t>Next</w:t>
      </w:r>
      <w:r>
        <w:rPr>
          <w:rFonts w:ascii="Arial" w:hAnsi="Times New Roman" w:eastAsia="Times New Roman" w:cs="Times New Roman"/>
          <w:sz w:val="24"/>
          <w:shd w:val="clear" w:color="auto" w:fill="FFFFFF"/>
        </w:rPr>
        <w:t xml:space="preserve"> is </w:t>
      </w:r>
      <w:r>
        <w:rPr>
          <w:rFonts w:hint="eastAsia" w:ascii="Arial" w:hAnsi="Times New Roman" w:eastAsia="Times New Roman" w:cs="Times New Roman"/>
          <w:sz w:val="24"/>
          <w:shd w:val="clear" w:color="auto" w:fill="FFFFFF"/>
        </w:rPr>
        <w:t>Participatory Art and Community Empowerment (Bishop, C.</w:t>
      </w:r>
      <w:r>
        <w:rPr>
          <w:rFonts w:ascii="Arial" w:hAnsi="Times New Roman" w:eastAsia="Times New Roman" w:cs="Times New Roman"/>
          <w:sz w:val="24"/>
          <w:shd w:val="clear" w:color="auto" w:fill="FFFFFF"/>
        </w:rPr>
        <w:t xml:space="preserve"> 2012, Kester, G.H. 2004) to examine the ethical and power dynamics in cooperative cultural production. Finally, there is </w:t>
      </w:r>
      <w:r>
        <w:rPr>
          <w:rFonts w:hint="eastAsia" w:ascii="Arial" w:hAnsi="Times New Roman" w:eastAsia="Times New Roman" w:cs="Times New Roman"/>
          <w:sz w:val="24"/>
          <w:shd w:val="clear" w:color="auto" w:fill="FFFFFF"/>
        </w:rPr>
        <w:t>Location</w:t>
      </w:r>
      <w:r>
        <w:rPr>
          <w:rFonts w:ascii="Arial" w:hAnsi="Times New Roman" w:eastAsia="Times New Roman" w:cs="Times New Roman"/>
          <w:sz w:val="24"/>
          <w:shd w:val="clear" w:color="auto" w:fill="FFFFFF"/>
        </w:rPr>
        <w:t xml:space="preserve"> and Animation Archaeology (Barad, </w:t>
      </w:r>
      <w:r>
        <w:rPr>
          <w:rFonts w:hint="eastAsia" w:ascii="Arial" w:hAnsi="Times New Roman" w:eastAsia="Times New Roman" w:cs="Times New Roman"/>
          <w:sz w:val="24"/>
          <w:shd w:val="clear" w:color="auto" w:fill="FFFFFF"/>
        </w:rPr>
        <w:t xml:space="preserve">K.2017, </w:t>
      </w:r>
      <w:r>
        <w:rPr>
          <w:rFonts w:ascii="Arial" w:hAnsi="Times New Roman" w:eastAsia="Times New Roman" w:cs="Times New Roman"/>
          <w:sz w:val="24"/>
          <w:shd w:val="clear" w:color="auto" w:fill="FFFFFF"/>
        </w:rPr>
        <w:t>Hosea, B. 2019, Lu, T.T. 2024), which goes beyond traditional cinematic media forms and views animation as a tool of cultural memory</w:t>
      </w:r>
      <w:r>
        <w:rPr>
          <w:rFonts w:hint="eastAsia" w:ascii="Arial" w:hAnsi="Times New Roman" w:eastAsia="Times New Roman" w:cs="Times New Roman"/>
          <w:sz w:val="24"/>
          <w:shd w:val="clear" w:color="auto" w:fill="FFFFFF"/>
        </w:rPr>
        <w:t>,</w:t>
      </w:r>
      <w:r>
        <w:rPr>
          <w:rFonts w:ascii="Arial" w:hAnsi="Times New Roman" w:eastAsia="Times New Roman" w:cs="Times New Roman"/>
          <w:sz w:val="24"/>
          <w:shd w:val="clear" w:color="auto" w:fill="FFFFFF"/>
        </w:rPr>
        <w:t xml:space="preserve"> </w:t>
      </w:r>
      <w:r>
        <w:rPr>
          <w:rFonts w:hint="eastAsia" w:ascii="Arial" w:hAnsi="Times New Roman" w:eastAsia="Times New Roman" w:cs="Times New Roman"/>
          <w:sz w:val="24"/>
          <w:shd w:val="clear" w:color="auto" w:fill="FFFFFF"/>
        </w:rPr>
        <w:t>that is text</w:t>
      </w:r>
      <w:r>
        <w:rPr>
          <w:rFonts w:ascii="Arial" w:hAnsi="Times New Roman" w:eastAsia="Times New Roman" w:cs="Times New Roman"/>
          <w:sz w:val="24"/>
          <w:shd w:val="clear" w:color="auto" w:fill="FFFFFF"/>
        </w:rPr>
        <w:t xml:space="preserve"> and visual analysis, participation </w:t>
      </w:r>
      <w:r>
        <w:rPr>
          <w:rFonts w:hint="eastAsia" w:ascii="Arial" w:hAnsi="Times New Roman" w:eastAsia="Times New Roman" w:cs="Times New Roman"/>
          <w:sz w:val="24"/>
          <w:shd w:val="clear" w:color="auto" w:fill="FFFFFF"/>
        </w:rPr>
        <w:t>in observation and interviews</w:t>
      </w:r>
      <w:r>
        <w:rPr>
          <w:rFonts w:ascii="Arial" w:hAnsi="Times New Roman" w:eastAsia="Times New Roman" w:cs="Times New Roman"/>
          <w:sz w:val="24"/>
          <w:shd w:val="clear" w:color="auto" w:fill="FFFFFF"/>
        </w:rPr>
        <w:t xml:space="preserve">, and </w:t>
      </w:r>
      <w:r>
        <w:rPr>
          <w:rFonts w:hint="eastAsia" w:ascii="Arial" w:hAnsi="Times New Roman" w:eastAsia="Times New Roman" w:cs="Times New Roman"/>
          <w:sz w:val="24"/>
          <w:shd w:val="clear" w:color="auto" w:fill="FFFFFF"/>
        </w:rPr>
        <w:t>Archival practice of cross-media animation</w:t>
      </w:r>
      <w:r>
        <w:rPr>
          <w:rFonts w:ascii="Arial" w:hAnsi="Times New Roman" w:eastAsia="Times New Roman" w:cs="Times New Roman"/>
          <w:sz w:val="24"/>
          <w:shd w:val="clear" w:color="auto" w:fill="FFFFFF"/>
        </w:rPr>
        <w:t xml:space="preserve">. Textual and visual analysis focuses on decoding the narrative structure, stylistic choices, and symbolic motifs within the animations, particularly as they relate to Indigenous mythologies. Participation </w:t>
      </w:r>
      <w:r>
        <w:rPr>
          <w:rFonts w:hint="eastAsia" w:ascii="Arial" w:hAnsi="Times New Roman" w:eastAsia="Times New Roman" w:cs="Times New Roman"/>
          <w:sz w:val="24"/>
          <w:shd w:val="clear" w:color="auto" w:fill="FFFFFF"/>
        </w:rPr>
        <w:t>in observation and interviews</w:t>
      </w:r>
      <w:r>
        <w:rPr>
          <w:rFonts w:ascii="Arial" w:hAnsi="Times New Roman" w:eastAsia="Times New Roman" w:cs="Times New Roman"/>
          <w:sz w:val="24"/>
          <w:shd w:val="clear" w:color="auto" w:fill="FFFFFF"/>
        </w:rPr>
        <w:t xml:space="preserve"> mainly documents the villagers' imagination of myths, their experiences of participating in workshops, and the impact of the animation festival on Indigenous culture. The a</w:t>
      </w:r>
      <w:r>
        <w:rPr>
          <w:rFonts w:hint="eastAsia" w:ascii="Arial" w:hAnsi="Times New Roman" w:eastAsia="Times New Roman" w:cs="Times New Roman"/>
          <w:sz w:val="24"/>
          <w:shd w:val="clear" w:color="auto" w:fill="FFFFFF"/>
        </w:rPr>
        <w:t>rchival practice of cross-media animation involves the non-linear reproduction and revival of location archives through animated documentaries that integrate thicky</w:t>
      </w:r>
      <w:r>
        <w:rPr>
          <w:rFonts w:ascii="Arial" w:hAnsi="Times New Roman" w:eastAsia="Times New Roman" w:cs="Times New Roman"/>
          <w:sz w:val="24"/>
          <w:shd w:val="clear" w:color="auto" w:fill="FFFFFF"/>
        </w:rPr>
        <w:t xml:space="preserve"> time.</w:t>
      </w:r>
    </w:p>
    <w:p w14:paraId="29997A61">
      <w:pPr>
        <w:ind w:firstLine="420"/>
        <w:jc w:val="left"/>
        <w:rPr>
          <w:rFonts w:ascii="Arial" w:hAnsi="Arial" w:eastAsia="宋体" w:cs="Arial"/>
          <w:sz w:val="24"/>
          <w:shd w:val="clear" w:color="auto" w:fill="FFFFFF"/>
        </w:rPr>
      </w:pPr>
    </w:p>
    <w:p w14:paraId="7FF8A27E">
      <w:pPr>
        <w:ind w:firstLine="420"/>
        <w:jc w:val="left"/>
        <w:rPr>
          <w:rFonts w:ascii="Arial" w:hAnsi="Arial" w:eastAsia="宋体" w:cs="Arial"/>
          <w:sz w:val="24"/>
          <w:shd w:val="clear" w:color="auto" w:fill="FFFFFF"/>
        </w:rPr>
      </w:pPr>
      <w:r>
        <w:rPr>
          <w:rFonts w:ascii="Arial" w:hAnsi="Arial" w:eastAsia="宋体" w:cs="Arial"/>
          <w:sz w:val="24"/>
          <w:shd w:val="clear" w:color="auto" w:fill="FFFFFF"/>
        </w:rPr>
        <w:drawing>
          <wp:anchor distT="0" distB="0" distL="114300" distR="114300" simplePos="0" relativeHeight="251660288" behindDoc="0" locked="0" layoutInCell="1" allowOverlap="1">
            <wp:simplePos x="0" y="0"/>
            <wp:positionH relativeFrom="column">
              <wp:posOffset>291465</wp:posOffset>
            </wp:positionH>
            <wp:positionV relativeFrom="paragraph">
              <wp:posOffset>20955</wp:posOffset>
            </wp:positionV>
            <wp:extent cx="5610225" cy="1511300"/>
            <wp:effectExtent l="0" t="0" r="13335" b="12700"/>
            <wp:wrapNone/>
            <wp:docPr id="5" name="图片 5" descr="Theoretical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Theoretical framework"/>
                    <pic:cNvPicPr>
                      <a:picLocks noChangeAspect="1"/>
                    </pic:cNvPicPr>
                  </pic:nvPicPr>
                  <pic:blipFill>
                    <a:blip r:embed="rId14"/>
                    <a:srcRect l="2989" t="10357" r="3255" b="7454"/>
                    <a:stretch>
                      <a:fillRect/>
                    </a:stretch>
                  </pic:blipFill>
                  <pic:spPr>
                    <a:xfrm>
                      <a:off x="0" y="0"/>
                      <a:ext cx="5610225" cy="1511300"/>
                    </a:xfrm>
                    <a:prstGeom prst="rect">
                      <a:avLst/>
                    </a:prstGeom>
                  </pic:spPr>
                </pic:pic>
              </a:graphicData>
            </a:graphic>
          </wp:anchor>
        </w:drawing>
      </w:r>
    </w:p>
    <w:p w14:paraId="007EB204">
      <w:pPr>
        <w:ind w:firstLine="420"/>
        <w:jc w:val="left"/>
        <w:rPr>
          <w:rFonts w:ascii="Arial" w:hAnsi="Arial" w:eastAsia="宋体" w:cs="Arial"/>
          <w:sz w:val="24"/>
          <w:shd w:val="clear" w:color="auto" w:fill="FFFFFF"/>
        </w:rPr>
      </w:pPr>
    </w:p>
    <w:p w14:paraId="177FE8D8">
      <w:pPr>
        <w:ind w:firstLine="420"/>
        <w:jc w:val="left"/>
        <w:rPr>
          <w:rFonts w:ascii="Arial" w:hAnsi="Arial" w:eastAsia="宋体" w:cs="Arial"/>
          <w:sz w:val="24"/>
          <w:shd w:val="clear" w:color="auto" w:fill="FFFFFF"/>
        </w:rPr>
      </w:pPr>
    </w:p>
    <w:p w14:paraId="21147273">
      <w:pPr>
        <w:ind w:firstLine="420"/>
        <w:jc w:val="left"/>
        <w:rPr>
          <w:rFonts w:ascii="Arial" w:hAnsi="Arial" w:eastAsia="宋体" w:cs="Arial"/>
          <w:sz w:val="24"/>
          <w:shd w:val="clear" w:color="auto" w:fill="FFFFFF"/>
        </w:rPr>
      </w:pPr>
    </w:p>
    <w:p w14:paraId="28776BCD">
      <w:pPr>
        <w:ind w:firstLine="420"/>
        <w:jc w:val="left"/>
        <w:rPr>
          <w:rFonts w:ascii="Arial" w:hAnsi="Arial" w:eastAsia="宋体" w:cs="Arial"/>
          <w:sz w:val="24"/>
          <w:shd w:val="clear" w:color="auto" w:fill="FFFFFF"/>
        </w:rPr>
      </w:pPr>
    </w:p>
    <w:p w14:paraId="086F5448">
      <w:pPr>
        <w:jc w:val="left"/>
        <w:rPr>
          <w:rFonts w:ascii="Arial" w:hAnsi="Arial" w:eastAsia="宋体" w:cs="Arial"/>
          <w:sz w:val="24"/>
          <w:shd w:val="clear" w:color="auto" w:fill="FFFFFF"/>
        </w:rPr>
      </w:pPr>
    </w:p>
    <w:p w14:paraId="3200FDD9">
      <w:pPr>
        <w:jc w:val="left"/>
        <w:rPr>
          <w:rFonts w:ascii="Arial" w:hAnsi="Times New Roman" w:eastAsia="Times New Roman" w:cs="Times New Roman"/>
          <w:sz w:val="24"/>
          <w:shd w:val="clear" w:color="auto" w:fill="FFFFFF"/>
        </w:rPr>
      </w:pPr>
      <w:r>
        <w:rPr>
          <w:rFonts w:ascii="Arial" w:hAnsi="Times New Roman" w:eastAsia="Times New Roman" w:cs="Times New Roman"/>
          <w:sz w:val="24"/>
          <w:shd w:val="clear" w:color="auto" w:fill="FFFFFF"/>
        </w:rPr>
        <w:t xml:space="preserve">  </w:t>
      </w:r>
    </w:p>
    <w:p w14:paraId="6B174C0D">
      <w:pPr>
        <w:jc w:val="left"/>
        <w:rPr>
          <w:rFonts w:ascii="Arial" w:hAnsi="Times New Roman" w:eastAsia="Times New Roman" w:cs="Times New Roman"/>
          <w:sz w:val="24"/>
          <w:shd w:val="clear" w:color="auto" w:fill="FFFFFF"/>
        </w:rPr>
      </w:pPr>
    </w:p>
    <w:p w14:paraId="77CD8B96">
      <w:pPr>
        <w:pStyle w:val="14"/>
        <w:numPr>
          <w:ilvl w:val="0"/>
          <w:numId w:val="1"/>
        </w:numPr>
        <w:ind w:firstLineChars="0"/>
        <w:jc w:val="left"/>
        <w:rPr>
          <w:rFonts w:ascii="Arial" w:hAnsi="Arial" w:eastAsia="宋体" w:cs="Arial"/>
          <w:sz w:val="24"/>
          <w:shd w:val="clear" w:color="auto" w:fill="FFFFFF"/>
        </w:rPr>
      </w:pPr>
      <w:r>
        <w:rPr>
          <w:rFonts w:ascii="Arial" w:hAnsi="Times New Roman" w:eastAsia="Times New Roman" w:cs="Times New Roman"/>
          <w:sz w:val="24"/>
          <w:shd w:val="clear" w:color="auto" w:fill="FFFFFF"/>
        </w:rPr>
        <w:t>Statement of Significance (5%)</w:t>
      </w:r>
    </w:p>
    <w:p w14:paraId="237101A4">
      <w:pPr>
        <w:jc w:val="left"/>
        <w:rPr>
          <w:rFonts w:ascii="Arial" w:hAnsi="Arial" w:eastAsia="宋体" w:cs="Arial"/>
          <w:sz w:val="24"/>
          <w:shd w:val="clear" w:color="auto" w:fill="FFFFFF"/>
        </w:rPr>
      </w:pPr>
      <w:r>
        <w:rPr>
          <w:rFonts w:hint="eastAsia" w:ascii="Arial" w:hAnsi="Times New Roman" w:eastAsia="Times New Roman" w:cs="Times New Roman"/>
          <w:sz w:val="24"/>
          <w:shd w:val="clear" w:color="auto" w:fill="FFFFFF"/>
        </w:rPr>
        <w:t xml:space="preserve">· </w:t>
      </w:r>
      <w:r>
        <w:rPr>
          <w:rFonts w:ascii="Arial" w:hAnsi="Times New Roman" w:eastAsia="Times New Roman" w:cs="Times New Roman"/>
          <w:sz w:val="24"/>
          <w:shd w:val="clear" w:color="auto" w:fill="FFFFFF"/>
        </w:rPr>
        <w:t>Developed a new approach to using animation in oral history documents;</w:t>
      </w:r>
    </w:p>
    <w:p w14:paraId="4158A5B4">
      <w:pPr>
        <w:jc w:val="left"/>
        <w:rPr>
          <w:rFonts w:ascii="Arial" w:hAnsi="Arial" w:eastAsia="宋体" w:cs="Arial"/>
          <w:sz w:val="24"/>
          <w:shd w:val="clear" w:color="auto" w:fill="FFFFFF"/>
        </w:rPr>
      </w:pPr>
      <w:r>
        <w:rPr>
          <w:rFonts w:hint="eastAsia" w:ascii="Arial" w:hAnsi="Times New Roman" w:eastAsia="Times New Roman" w:cs="Times New Roman"/>
          <w:sz w:val="24"/>
          <w:shd w:val="clear" w:color="auto" w:fill="FFFFFF"/>
        </w:rPr>
        <w:t xml:space="preserve">· </w:t>
      </w:r>
      <w:r>
        <w:rPr>
          <w:rFonts w:ascii="Arial" w:hAnsi="Times New Roman" w:eastAsia="Times New Roman" w:cs="Times New Roman"/>
          <w:sz w:val="24"/>
          <w:shd w:val="clear" w:color="auto" w:fill="FFFFFF"/>
        </w:rPr>
        <w:t>Expanded the approach of participatory media as an archive of heritage;</w:t>
      </w:r>
    </w:p>
    <w:p w14:paraId="00D9BBEB">
      <w:pPr>
        <w:jc w:val="left"/>
        <w:rPr>
          <w:rFonts w:ascii="Arial" w:hAnsi="Arial" w:eastAsia="宋体" w:cs="Arial"/>
          <w:sz w:val="24"/>
          <w:shd w:val="clear" w:color="auto" w:fill="FFFFFF"/>
        </w:rPr>
      </w:pPr>
      <w:r>
        <w:rPr>
          <w:rFonts w:hint="eastAsia" w:ascii="Arial" w:hAnsi="Times New Roman" w:eastAsia="Times New Roman" w:cs="Times New Roman"/>
          <w:sz w:val="24"/>
          <w:shd w:val="clear" w:color="auto" w:fill="FFFFFF"/>
        </w:rPr>
        <w:t xml:space="preserve">· Advanced </w:t>
      </w:r>
      <w:r>
        <w:rPr>
          <w:rFonts w:ascii="Arial" w:hAnsi="Times New Roman" w:eastAsia="Times New Roman" w:cs="Times New Roman"/>
          <w:sz w:val="24"/>
          <w:shd w:val="clear" w:color="auto" w:fill="FFFFFF"/>
        </w:rPr>
        <w:t>visual anthropology through the storytelling of topographic myths;</w:t>
      </w:r>
    </w:p>
    <w:p w14:paraId="3C0ACB76">
      <w:pPr>
        <w:jc w:val="left"/>
        <w:rPr>
          <w:rFonts w:ascii="Arial" w:hAnsi="Arial" w:eastAsia="宋体" w:cs="Arial"/>
          <w:sz w:val="24"/>
          <w:shd w:val="clear" w:color="auto" w:fill="FFFFFF"/>
        </w:rPr>
      </w:pPr>
      <w:r>
        <w:rPr>
          <w:rFonts w:hint="eastAsia" w:ascii="Arial" w:hAnsi="Times New Roman" w:eastAsia="Times New Roman" w:cs="Times New Roman"/>
          <w:sz w:val="24"/>
          <w:shd w:val="clear" w:color="auto" w:fill="FFFFFF"/>
        </w:rPr>
        <w:t xml:space="preserve">· </w:t>
      </w:r>
      <w:r>
        <w:rPr>
          <w:rFonts w:ascii="Arial" w:hAnsi="Times New Roman" w:eastAsia="Times New Roman" w:cs="Times New Roman"/>
          <w:sz w:val="24"/>
          <w:shd w:val="clear" w:color="auto" w:fill="FFFFFF"/>
        </w:rPr>
        <w:t>Increase local cultural institutions → Provide a model for low-literacy, image-rich community storytelling to build a platform for cultural return and recognition (festivals)</w:t>
      </w:r>
    </w:p>
    <w:p w14:paraId="052C4457">
      <w:pPr>
        <w:jc w:val="left"/>
        <w:rPr>
          <w:rFonts w:ascii="Arial" w:hAnsi="Arial" w:eastAsia="宋体" w:cs="Arial"/>
          <w:sz w:val="24"/>
          <w:shd w:val="clear" w:color="auto" w:fill="FFFFFF"/>
        </w:rPr>
      </w:pPr>
      <w:r>
        <w:rPr>
          <w:rFonts w:hint="eastAsia" w:ascii="Arial" w:hAnsi="Times New Roman" w:eastAsia="Times New Roman" w:cs="Times New Roman"/>
          <w:sz w:val="24"/>
          <w:shd w:val="clear" w:color="auto" w:fill="FFFFFF"/>
        </w:rPr>
        <w:t xml:space="preserve">· </w:t>
      </w:r>
      <w:r>
        <w:rPr>
          <w:rFonts w:ascii="Arial" w:hAnsi="Times New Roman" w:eastAsia="Times New Roman" w:cs="Times New Roman"/>
          <w:sz w:val="24"/>
          <w:shd w:val="clear" w:color="auto" w:fill="FFFFFF"/>
        </w:rPr>
        <w:t>Consider moderate scaling: Pilot the festival in 2-3 villages and document the community's response.</w:t>
      </w:r>
    </w:p>
    <w:p w14:paraId="7D35B9DA">
      <w:pPr>
        <w:spacing w:line="360" w:lineRule="auto"/>
        <w:rPr>
          <w:rFonts w:ascii="Arial" w:hAnsi="Arial" w:eastAsia="宋体" w:cs="Arial"/>
          <w:sz w:val="24"/>
          <w:shd w:val="clear" w:color="auto" w:fill="FFFFFF"/>
        </w:rPr>
      </w:pPr>
    </w:p>
    <w:p w14:paraId="1127E306">
      <w:pPr>
        <w:spacing w:line="360" w:lineRule="auto"/>
        <w:rPr>
          <w:rFonts w:ascii="Arial" w:hAnsi="Arial" w:eastAsia="宋体" w:cs="Arial"/>
          <w:b/>
          <w:bCs/>
          <w:sz w:val="24"/>
          <w:shd w:val="clear" w:color="auto" w:fill="FFFFFF"/>
        </w:rPr>
      </w:pPr>
      <w:r>
        <w:rPr>
          <w:rFonts w:ascii="Arial" w:hAnsi="Times New Roman" w:eastAsia="Times New Roman" w:cs="Times New Roman"/>
          <w:b/>
          <w:bCs/>
          <w:sz w:val="24"/>
          <w:shd w:val="clear" w:color="auto" w:fill="FFFFFF"/>
        </w:rPr>
        <w:t xml:space="preserve">  6. Provisional Timetable</w:t>
      </w:r>
    </w:p>
    <w:p w14:paraId="423D165A">
      <w:pPr>
        <w:spacing w:line="360" w:lineRule="auto"/>
        <w:rPr>
          <w:rFonts w:ascii="Arial" w:hAnsi="Arial" w:eastAsia="宋体" w:cs="Arial"/>
          <w:sz w:val="24"/>
          <w:shd w:val="clear" w:color="auto" w:fill="FFFFFF"/>
        </w:rPr>
      </w:pPr>
      <w:r>
        <w:rPr>
          <w:rFonts w:ascii="Arial" w:hAnsi="Arial" w:eastAsia="宋体" w:cs="Arial"/>
          <w:sz w:val="24"/>
          <w:shd w:val="clear" w:color="auto" w:fill="FFFFFF"/>
        </w:rPr>
        <w:drawing>
          <wp:inline distT="0" distB="0" distL="114300" distR="114300">
            <wp:extent cx="5268595" cy="4281170"/>
            <wp:effectExtent l="0" t="0" r="4445" b="1270"/>
            <wp:docPr id="6" name="图片 6" descr="时间计划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时间计划表"/>
                    <pic:cNvPicPr>
                      <a:picLocks noChangeAspect="1"/>
                    </pic:cNvPicPr>
                  </pic:nvPicPr>
                  <pic:blipFill>
                    <a:blip r:embed="rId15"/>
                    <a:stretch>
                      <a:fillRect/>
                    </a:stretch>
                  </pic:blipFill>
                  <pic:spPr>
                    <a:xfrm>
                      <a:off x="0" y="0"/>
                      <a:ext cx="5268595" cy="4281170"/>
                    </a:xfrm>
                    <a:prstGeom prst="rect">
                      <a:avLst/>
                    </a:prstGeom>
                  </pic:spPr>
                </pic:pic>
              </a:graphicData>
            </a:graphic>
          </wp:inline>
        </w:drawing>
      </w:r>
    </w:p>
    <w:p w14:paraId="3C8F44E0">
      <w:pPr>
        <w:spacing w:line="360" w:lineRule="auto"/>
        <w:rPr>
          <w:rFonts w:ascii="Arial" w:hAnsi="Arial" w:eastAsia="宋体" w:cs="Arial"/>
          <w:sz w:val="24"/>
          <w:shd w:val="clear" w:color="auto" w:fill="FFFFFF"/>
        </w:rPr>
      </w:pPr>
    </w:p>
    <w:p w14:paraId="5F521878">
      <w:pPr>
        <w:spacing w:line="360" w:lineRule="auto"/>
        <w:rPr>
          <w:rFonts w:ascii="Arial" w:hAnsi="Arial" w:eastAsia="宋体" w:cs="Arial"/>
          <w:sz w:val="24"/>
          <w:shd w:val="clear" w:color="auto" w:fill="FFFFFF"/>
        </w:rPr>
      </w:pPr>
    </w:p>
    <w:p w14:paraId="6B819E4A">
      <w:pPr>
        <w:numPr>
          <w:ilvl w:val="0"/>
          <w:numId w:val="2"/>
        </w:numPr>
        <w:spacing w:line="360" w:lineRule="auto"/>
        <w:rPr>
          <w:rFonts w:ascii="Arial" w:hAnsi="Arial" w:eastAsia="Times New Roman" w:cs="Arial"/>
          <w:b/>
          <w:bCs/>
          <w:sz w:val="24"/>
          <w:shd w:val="clear" w:color="auto" w:fill="FFFFFF"/>
        </w:rPr>
      </w:pPr>
      <w:r>
        <w:rPr>
          <w:rFonts w:ascii="Arial" w:hAnsi="Times New Roman" w:eastAsia="Times New Roman" w:cs="Times New Roman"/>
          <w:b/>
          <w:bCs/>
          <w:sz w:val="24"/>
          <w:shd w:val="clear" w:color="auto" w:fill="FFFFFF"/>
        </w:rPr>
        <w:t>Bibliography</w:t>
      </w:r>
    </w:p>
    <w:p w14:paraId="66A26FE5">
      <w:pPr>
        <w:spacing w:line="360" w:lineRule="auto"/>
        <w:rPr>
          <w:rFonts w:ascii="Arial" w:hAnsi="Arial" w:eastAsia="Times New Roman" w:cs="Arial"/>
          <w:b/>
          <w:bCs/>
          <w:sz w:val="24"/>
          <w:shd w:val="clear" w:color="auto" w:fill="FFFFFF"/>
        </w:rPr>
      </w:pPr>
      <w:r>
        <w:rPr>
          <w:rFonts w:ascii="Arial" w:hAnsi="Times New Roman" w:eastAsia="Times New Roman" w:cs="Times New Roman"/>
          <w:sz w:val="24"/>
          <w:shd w:val="clear" w:color="auto" w:fill="FFFFFF"/>
        </w:rPr>
        <w:t>·Barad, K.​2017. “Troubling Time/s and Ecologies of Nothingness: Re-turning, Re-membering, and Facing the Incalculable”. New Formations, 92(1), 56-86.</w:t>
      </w:r>
    </w:p>
    <w:p w14:paraId="00AB9D81">
      <w:pPr>
        <w:spacing w:line="360" w:lineRule="auto"/>
        <w:rPr>
          <w:rFonts w:ascii="Arial" w:hAnsi="Arial" w:eastAsia="宋体" w:cs="Arial"/>
          <w:sz w:val="24"/>
          <w:shd w:val="clear" w:color="auto" w:fill="FFFFFF"/>
        </w:rPr>
      </w:pPr>
      <w:r>
        <w:rPr>
          <w:rFonts w:ascii="Arial" w:hAnsi="Times New Roman" w:eastAsia="Times New Roman" w:cs="Times New Roman"/>
          <w:sz w:val="24"/>
          <w:shd w:val="clear" w:color="auto" w:fill="FFFFFF"/>
        </w:rPr>
        <w:t>·Wall, G. 2022. Trans-corporeal photographies: landscapes of a more than human world. In Relate North #9 (pp. 62-81). Viseu, Portugal: InSEA Publications.</w:t>
      </w:r>
    </w:p>
    <w:p w14:paraId="52C61443">
      <w:pPr>
        <w:spacing w:line="360" w:lineRule="auto"/>
        <w:rPr>
          <w:rFonts w:ascii="Arial" w:hAnsi="Arial" w:eastAsia="宋体" w:cs="Arial"/>
          <w:sz w:val="24"/>
          <w:shd w:val="clear" w:color="auto" w:fill="FFFFFF"/>
        </w:rPr>
      </w:pPr>
      <w:r>
        <w:rPr>
          <w:rFonts w:ascii="Arial" w:hAnsi="Times New Roman" w:eastAsia="Times New Roman" w:cs="Times New Roman"/>
          <w:sz w:val="24"/>
          <w:shd w:val="clear" w:color="auto" w:fill="FFFFFF"/>
        </w:rPr>
        <w:t>·Cholodenko, A. 2018. “Tears in Rain”: Hyper-Memory, Hyper-Basements, Hyper-Haunted Houses [Conference presentation]. 3rd Annual Conference of Chinese Animation Studies, Chengdu University, Chengdu, China.</w:t>
      </w:r>
    </w:p>
    <w:p w14:paraId="1404233D">
      <w:pPr>
        <w:spacing w:line="360" w:lineRule="auto"/>
        <w:rPr>
          <w:rFonts w:ascii="Arial" w:hAnsi="Arial" w:eastAsia="宋体" w:cs="Arial"/>
          <w:sz w:val="24"/>
          <w:shd w:val="clear" w:color="auto" w:fill="FFFFFF"/>
        </w:rPr>
      </w:pPr>
      <w:r>
        <w:rPr>
          <w:rFonts w:ascii="Arial" w:hAnsi="Times New Roman" w:eastAsia="Times New Roman" w:cs="Times New Roman"/>
          <w:sz w:val="24"/>
          <w:shd w:val="clear" w:color="auto" w:fill="FFFFFF"/>
        </w:rPr>
        <w:t>·Zhou, S.S. 2025. Listening to Yuzhou Lecture to Interpret the geographical and cultural Beauty of the City of Mountains and Waters [Listening to Yuzhou Lecture: Interpreting the Geographical and Cultural Beauty of the Mountainous City]. Chongqing Daily – New Chongqing [online]. A</w:t>
      </w:r>
      <w:r>
        <w:rPr>
          <w:rFonts w:hint="eastAsia" w:ascii="Arial" w:hAnsi="Times New Roman" w:eastAsia="Times New Roman" w:cs="Times New Roman"/>
          <w:sz w:val="24"/>
          <w:shd w:val="clear" w:color="auto" w:fill="FFFFFF"/>
        </w:rPr>
        <w:t>vailable from</w:t>
      </w:r>
      <w:r>
        <w:rPr>
          <w:rFonts w:ascii="Arial" w:hAnsi="Times New Roman" w:eastAsia="Times New Roman" w:cs="Times New Roman"/>
          <w:sz w:val="24"/>
          <w:shd w:val="clear" w:color="auto" w:fill="FFFFFF"/>
        </w:rPr>
        <w:t>: https://cqrb.cn/wenlv/shangyou/2025-04-24/2252518_pc.html [Accessed 3 May 2025].</w:t>
      </w:r>
    </w:p>
    <w:p w14:paraId="7DC89261">
      <w:pPr>
        <w:spacing w:line="360" w:lineRule="auto"/>
        <w:rPr>
          <w:rFonts w:ascii="Arial" w:hAnsi="Arial" w:eastAsia="宋体" w:cs="Arial"/>
          <w:sz w:val="24"/>
          <w:shd w:val="clear" w:color="auto" w:fill="FFFFFF"/>
        </w:rPr>
      </w:pPr>
    </w:p>
    <w:p w14:paraId="12A48E6C">
      <w:pPr>
        <w:spacing w:line="360" w:lineRule="auto"/>
        <w:rPr>
          <w:rFonts w:ascii="Arial" w:hAnsi="Arial" w:eastAsia="宋体" w:cs="Arial"/>
          <w:sz w:val="24"/>
          <w:shd w:val="clear" w:color="auto" w:fill="FFFFFF"/>
        </w:rPr>
      </w:pPr>
      <w:r>
        <w:rPr>
          <w:rFonts w:ascii="Arial" w:hAnsi="Times New Roman" w:eastAsia="Times New Roman" w:cs="Times New Roman"/>
          <w:sz w:val="24"/>
          <w:shd w:val="clear" w:color="auto" w:fill="FFFFFF"/>
        </w:rPr>
        <w:t>·Song, A Cultural District Perspective on Traditional Villages in Chongqing and Their Conservation Development. Master Electronic Journal Four (4). [Online]. Available at: https://doi.org/10.27670/d.cnki.gcqdu.2020.002504 (Accessed 3 May 2025). Funded by Chongqing sub-project of the National Natural Science Foundation of China: Research on the Rural Landscape, Heritage Value and Protection of Traditional Villages in Southwest Ethnic Areas based on Cultural Ecology.</w:t>
      </w:r>
    </w:p>
    <w:p w14:paraId="4DF89063">
      <w:pPr>
        <w:spacing w:line="360" w:lineRule="auto"/>
        <w:rPr>
          <w:rFonts w:ascii="Arial" w:hAnsi="Arial" w:eastAsia="宋体" w:cs="Arial"/>
          <w:sz w:val="24"/>
          <w:shd w:val="clear" w:color="auto" w:fill="FFFFFF"/>
        </w:rPr>
      </w:pPr>
      <w:r>
        <w:rPr>
          <w:rFonts w:ascii="Arial" w:hAnsi="Times New Roman" w:eastAsia="Times New Roman" w:cs="Times New Roman"/>
          <w:sz w:val="24"/>
          <w:shd w:val="clear" w:color="auto" w:fill="FFFFFF"/>
        </w:rPr>
        <w:t>·Tian, F</w:t>
      </w:r>
      <w:r>
        <w:rPr>
          <w:rFonts w:hint="eastAsia" w:ascii="Arial" w:hAnsi="Times New Roman" w:eastAsia="Times New Roman" w:cs="Times New Roman"/>
          <w:sz w:val="24"/>
          <w:shd w:val="clear" w:color="auto" w:fill="FFFFFF"/>
        </w:rPr>
        <w:t>.L.2025</w:t>
      </w:r>
      <w:r>
        <w:rPr>
          <w:rFonts w:ascii="Arial" w:hAnsi="Times New Roman" w:eastAsia="Times New Roman" w:cs="Times New Roman"/>
          <w:sz w:val="24"/>
          <w:shd w:val="clear" w:color="auto" w:fill="FFFFFF"/>
        </w:rPr>
        <w:t>. Current Situation and Countermeasures of Rural Left-behind Elderly in Chongqing. Chongqing Aging Office</w:t>
      </w:r>
      <w:r>
        <w:rPr>
          <w:rFonts w:hint="eastAsia" w:ascii="Arial" w:hAnsi="Times New Roman" w:eastAsia="Times New Roman" w:cs="Times New Roman"/>
          <w:sz w:val="24"/>
          <w:shd w:val="clear" w:color="auto" w:fill="FFFFFF"/>
        </w:rPr>
        <w:t>.</w:t>
      </w:r>
    </w:p>
    <w:p w14:paraId="53C806EC">
      <w:pPr>
        <w:spacing w:line="360" w:lineRule="auto"/>
        <w:rPr>
          <w:rFonts w:ascii="Arial" w:hAnsi="Arial" w:eastAsia="宋体" w:cs="Arial"/>
          <w:sz w:val="24"/>
          <w:shd w:val="clear" w:color="auto" w:fill="FFFFFF"/>
        </w:rPr>
      </w:pPr>
      <w:r>
        <w:rPr>
          <w:rFonts w:ascii="Arial" w:hAnsi="Times New Roman" w:eastAsia="Times New Roman" w:cs="Times New Roman"/>
          <w:sz w:val="24"/>
          <w:shd w:val="clear" w:color="auto" w:fill="FFFFFF"/>
        </w:rPr>
        <w:t>·Li, X. (2025). Chongqing New Mountain Ghost: The New Mountain Ghost of Chongqing: Unveiling the Modern Charm Behind Ancient Legends Unveiling the Modern Charm of an Ancient Legend]. Journal of Chinese Folklore, 45(3), 78-94.</w:t>
      </w:r>
    </w:p>
    <w:p w14:paraId="3BBE6739">
      <w:pPr>
        <w:spacing w:line="360" w:lineRule="auto"/>
        <w:rPr>
          <w:rFonts w:ascii="Arial" w:hAnsi="Arial" w:eastAsia="宋体" w:cs="Arial"/>
          <w:sz w:val="24"/>
          <w:shd w:val="clear" w:color="auto" w:fill="FFFFFF"/>
        </w:rPr>
      </w:pPr>
      <w:r>
        <w:rPr>
          <w:rFonts w:ascii="Arial" w:hAnsi="Times New Roman" w:eastAsia="Times New Roman" w:cs="Times New Roman"/>
          <w:sz w:val="24"/>
          <w:shd w:val="clear" w:color="auto" w:fill="FFFFFF"/>
        </w:rPr>
        <w:t>Xiong, D. &amp; Cheng, S. (2004). Myths and Legends of Bayu Culture. Chongqing: Chongqing Publishing House. ISBN: 753666499.</w:t>
      </w:r>
    </w:p>
    <w:p w14:paraId="128AC73B">
      <w:pPr>
        <w:spacing w:line="360" w:lineRule="auto"/>
        <w:rPr>
          <w:rFonts w:ascii="Arial" w:hAnsi="Arial" w:eastAsia="宋体" w:cs="Arial"/>
          <w:sz w:val="24"/>
          <w:shd w:val="clear" w:color="auto" w:fill="FFFFFF"/>
        </w:rPr>
      </w:pPr>
      <w:r>
        <w:rPr>
          <w:rFonts w:ascii="Arial" w:hAnsi="Times New Roman" w:eastAsia="Times New Roman" w:cs="Times New Roman"/>
          <w:sz w:val="24"/>
          <w:shd w:val="clear" w:color="auto" w:fill="FFFFFF"/>
        </w:rPr>
        <w:t>·Chongqing Academy of Social Sciences. (2023). Historical Geography Analysis of Mountain Myths in Chongqing. Chongqing: Chongqing Publishing House.</w:t>
      </w:r>
    </w:p>
    <w:p w14:paraId="7109EDE2">
      <w:pPr>
        <w:spacing w:line="360" w:lineRule="auto"/>
        <w:rPr>
          <w:rFonts w:ascii="Arial" w:hAnsi="Arial" w:eastAsia="宋体" w:cs="Arial"/>
          <w:sz w:val="24"/>
          <w:shd w:val="clear" w:color="auto" w:fill="FFFFFF"/>
        </w:rPr>
      </w:pPr>
    </w:p>
    <w:p w14:paraId="24F7F3EF">
      <w:pPr>
        <w:spacing w:line="360" w:lineRule="auto"/>
        <w:rPr>
          <w:rFonts w:ascii="Arial" w:hAnsi="Arial" w:eastAsia="Times New Roman" w:cs="Arial"/>
          <w:b/>
          <w:bCs/>
          <w:sz w:val="24"/>
          <w:shd w:val="clear" w:color="auto" w:fill="FFFFFF"/>
        </w:rPr>
      </w:pPr>
    </w:p>
    <w:p w14:paraId="5755E2FA">
      <w:pPr>
        <w:spacing w:line="360" w:lineRule="auto"/>
        <w:rPr>
          <w:rFonts w:ascii="Arial" w:hAnsi="Arial" w:eastAsia="Times New Roman" w:cs="Arial"/>
          <w:b/>
          <w:bCs/>
          <w:sz w:val="24"/>
          <w:shd w:val="clear" w:color="auto" w:fill="FFFFFF"/>
        </w:rPr>
      </w:pPr>
    </w:p>
    <w:p w14:paraId="14F171C8">
      <w:pPr>
        <w:spacing w:line="360" w:lineRule="auto"/>
        <w:rPr>
          <w:rFonts w:ascii="Arial" w:hAnsi="Arial" w:eastAsia="Times New Roman" w:cs="Arial"/>
          <w:b/>
          <w:bCs/>
          <w:sz w:val="24"/>
          <w:shd w:val="clear" w:color="auto" w:fill="FFFFFF"/>
        </w:rPr>
      </w:pPr>
    </w:p>
    <w:p w14:paraId="0DA6BAC9">
      <w:pPr>
        <w:spacing w:line="360" w:lineRule="auto"/>
        <w:rPr>
          <w:rFonts w:ascii="Arial" w:hAnsi="Arial" w:eastAsia="Times New Roman" w:cs="Arial"/>
          <w:b/>
          <w:bCs/>
          <w:sz w:val="24"/>
          <w:shd w:val="clear" w:color="auto" w:fill="FFFFFF"/>
        </w:rPr>
      </w:pPr>
    </w:p>
    <w:p w14:paraId="50585C2D">
      <w:pPr>
        <w:spacing w:line="360" w:lineRule="auto"/>
        <w:rPr>
          <w:rFonts w:ascii="Arial" w:hAnsi="Arial" w:eastAsia="Times New Roman" w:cs="Arial"/>
          <w:b/>
          <w:bCs/>
          <w:sz w:val="24"/>
          <w:shd w:val="clear" w:color="auto" w:fill="FFFFFF"/>
        </w:rPr>
      </w:pPr>
    </w:p>
    <w:p w14:paraId="68D51C29">
      <w:pPr>
        <w:spacing w:line="360" w:lineRule="auto"/>
        <w:rPr>
          <w:rFonts w:ascii="Arial" w:hAnsi="Arial" w:eastAsia="Times New Roman" w:cs="Arial"/>
          <w:b/>
          <w:bCs/>
          <w:sz w:val="24"/>
          <w:shd w:val="clear" w:color="auto" w:fill="FFFFFF"/>
        </w:rPr>
      </w:pPr>
    </w:p>
    <w:p w14:paraId="52A64DB9">
      <w:pPr>
        <w:spacing w:line="360" w:lineRule="auto"/>
        <w:rPr>
          <w:rFonts w:ascii="Arial" w:hAnsi="Arial" w:eastAsia="宋体" w:cs="Arial"/>
          <w:sz w:val="24"/>
          <w:shd w:val="clear" w:color="auto" w:fill="FFFFFF"/>
        </w:rPr>
      </w:pPr>
      <w:r>
        <w:rPr>
          <w:rFonts w:ascii="Arial" w:hAnsi="Times New Roman" w:eastAsia="Times New Roman" w:cs="Times New Roman"/>
          <w:sz w:val="24"/>
          <w:shd w:val="clear" w:color="auto" w:fill="FFFFFF"/>
        </w:rPr>
        <w:t>·Honess Roe, A. 2013. Animated Documentary . New York : Palgrave Macmillan.</w:t>
      </w:r>
    </w:p>
    <w:p w14:paraId="5100A393">
      <w:pPr>
        <w:spacing w:line="360" w:lineRule="auto"/>
        <w:rPr>
          <w:rFonts w:ascii="Arial" w:hAnsi="Arial" w:eastAsia="宋体" w:cs="Arial"/>
          <w:sz w:val="24"/>
          <w:shd w:val="clear" w:color="auto" w:fill="FFFFFF"/>
        </w:rPr>
      </w:pPr>
      <w:r>
        <w:rPr>
          <w:rFonts w:ascii="Arial" w:hAnsi="Times New Roman" w:eastAsia="Times New Roman" w:cs="Times New Roman"/>
          <w:sz w:val="24"/>
          <w:shd w:val="clear" w:color="auto" w:fill="FFFFFF"/>
        </w:rPr>
        <w:t>·</w:t>
      </w:r>
      <w:r>
        <w:rPr>
          <w:rFonts w:ascii="Arial" w:hAnsi="Times New Roman" w:eastAsia="Times New Roman" w:cs="Times New Roman"/>
          <w:sz w:val="24"/>
          <w:shd w:val="clear" w:color="auto" w:fill="FFFFFF"/>
          <w:lang w:eastAsia="ja-JP"/>
        </w:rPr>
        <w:t>Pilling,J</w:t>
      </w:r>
      <w:r>
        <w:rPr>
          <w:rFonts w:ascii="Arial" w:hAnsi="Times New Roman" w:eastAsia="Times New Roman" w:cs="Times New Roman"/>
          <w:sz w:val="24"/>
          <w:shd w:val="clear" w:color="auto" w:fill="FFFFFF"/>
        </w:rPr>
        <w:t>. (Ed.). 2012. Animating the Unconscious: Desire, Sexuality and Animation. New York: Columbia University Press.</w:t>
      </w:r>
    </w:p>
    <w:p w14:paraId="2090116D">
      <w:pPr>
        <w:spacing w:line="360" w:lineRule="auto"/>
        <w:rPr>
          <w:rFonts w:ascii="Arial" w:hAnsi="Arial" w:eastAsia="宋体" w:cs="Arial"/>
          <w:sz w:val="24"/>
          <w:shd w:val="clear" w:color="auto" w:fill="FFFFFF"/>
        </w:rPr>
      </w:pPr>
      <w:r>
        <w:rPr>
          <w:rFonts w:ascii="Arial" w:hAnsi="Times New Roman" w:eastAsia="Times New Roman" w:cs="Times New Roman"/>
          <w:sz w:val="24"/>
          <w:shd w:val="clear" w:color="auto" w:fill="FFFFFF"/>
        </w:rPr>
        <w:t>·</w:t>
      </w:r>
      <w:r>
        <w:rPr>
          <w:rFonts w:ascii="Arial" w:hAnsi="Times New Roman" w:eastAsia="Times New Roman" w:cs="Times New Roman"/>
          <w:sz w:val="24"/>
          <w:shd w:val="clear" w:color="auto" w:fill="FFFFFF"/>
          <w:lang w:eastAsia="ja-JP"/>
        </w:rPr>
        <w:t>Formenti</w:t>
      </w:r>
      <w:r>
        <w:rPr>
          <w:rFonts w:ascii="Arial" w:hAnsi="Times New Roman" w:eastAsia="Times New Roman" w:cs="Times New Roman"/>
          <w:sz w:val="24"/>
          <w:shd w:val="clear" w:color="auto" w:fill="FFFFFF"/>
        </w:rPr>
        <w:t xml:space="preserve">, </w:t>
      </w:r>
      <w:r>
        <w:rPr>
          <w:rFonts w:ascii="Arial" w:hAnsi="Times New Roman" w:eastAsia="Times New Roman" w:cs="Times New Roman"/>
          <w:sz w:val="24"/>
          <w:shd w:val="clear" w:color="auto" w:fill="FFFFFF"/>
          <w:lang w:eastAsia="ja-JP"/>
        </w:rPr>
        <w:t>C</w:t>
      </w:r>
      <w:r>
        <w:rPr>
          <w:rFonts w:ascii="Arial" w:hAnsi="Times New Roman" w:eastAsia="Times New Roman" w:cs="Times New Roman"/>
          <w:sz w:val="24"/>
          <w:shd w:val="clear" w:color="auto" w:fill="FFFFFF"/>
        </w:rPr>
        <w:t>. 20</w:t>
      </w:r>
      <w:r>
        <w:rPr>
          <w:rFonts w:ascii="Arial" w:hAnsi="Times New Roman" w:eastAsia="Times New Roman" w:cs="Times New Roman"/>
          <w:sz w:val="24"/>
          <w:shd w:val="clear" w:color="auto" w:fill="FFFFFF"/>
          <w:lang w:eastAsia="ja-JP"/>
        </w:rPr>
        <w:t>22</w:t>
      </w:r>
      <w:r>
        <w:rPr>
          <w:rFonts w:ascii="Arial" w:hAnsi="Times New Roman" w:eastAsia="Times New Roman" w:cs="Times New Roman"/>
          <w:sz w:val="24"/>
          <w:shd w:val="clear" w:color="auto" w:fill="FFFFFF"/>
        </w:rPr>
        <w:t>. The Classical Animated Documentary and Its Contemporary Evolution . London: Bloomsbury Academic.</w:t>
      </w:r>
    </w:p>
    <w:p w14:paraId="51F93FF7">
      <w:pPr>
        <w:spacing w:line="360" w:lineRule="auto"/>
        <w:rPr>
          <w:rFonts w:ascii="Arial" w:hAnsi="Arial" w:eastAsia="宋体" w:cs="Arial"/>
          <w:sz w:val="24"/>
          <w:shd w:val="clear" w:color="auto" w:fill="FFFFFF"/>
        </w:rPr>
      </w:pPr>
      <w:r>
        <w:rPr>
          <w:rFonts w:ascii="Arial" w:hAnsi="Times New Roman" w:eastAsia="Times New Roman" w:cs="Times New Roman"/>
          <w:sz w:val="24"/>
          <w:shd w:val="clear" w:color="auto" w:fill="FFFFFF"/>
        </w:rPr>
        <w:t>·Murray, J.&amp;Ehrlich</w:t>
      </w:r>
      <w:r>
        <w:rPr>
          <w:rFonts w:ascii="Arial" w:hAnsi="Times New Roman" w:eastAsia="Times New Roman" w:cs="Times New Roman"/>
          <w:sz w:val="24"/>
          <w:shd w:val="clear" w:color="auto" w:fill="FFFFFF"/>
          <w:lang w:eastAsia="ja-JP"/>
        </w:rPr>
        <w:t>,N.</w:t>
      </w:r>
      <w:r>
        <w:rPr>
          <w:rFonts w:ascii="Arial" w:hAnsi="Times New Roman" w:eastAsia="Times New Roman" w:cs="Times New Roman"/>
          <w:sz w:val="24"/>
          <w:shd w:val="clear" w:color="auto" w:fill="FFFFFF"/>
        </w:rPr>
        <w:t xml:space="preserve"> (Eds.)</w:t>
      </w:r>
      <w:r>
        <w:rPr>
          <w:rFonts w:ascii="Arial" w:hAnsi="Times New Roman" w:eastAsia="Times New Roman" w:cs="Times New Roman"/>
          <w:sz w:val="24"/>
          <w:shd w:val="clear" w:color="auto" w:fill="FFFFFF"/>
          <w:lang w:eastAsia="ja-JP"/>
        </w:rPr>
        <w:t>.</w:t>
      </w:r>
      <w:r>
        <w:rPr>
          <w:rFonts w:ascii="Arial" w:hAnsi="Times New Roman" w:eastAsia="Times New Roman" w:cs="Times New Roman"/>
          <w:sz w:val="24"/>
          <w:shd w:val="clear" w:color="auto" w:fill="FFFFFF"/>
        </w:rPr>
        <w:t>2021. Drawn from Life: Issues and Themes in Animated Documentary Cinema .Edinburgh: Edinburgh University Press.</w:t>
      </w:r>
    </w:p>
    <w:p w14:paraId="6217B780">
      <w:pPr>
        <w:spacing w:line="360" w:lineRule="auto"/>
        <w:rPr>
          <w:rFonts w:ascii="Arial" w:hAnsi="Arial" w:eastAsia="宋体" w:cs="Arial"/>
          <w:sz w:val="24"/>
          <w:shd w:val="clear" w:color="auto" w:fill="FFFFFF"/>
        </w:rPr>
      </w:pPr>
      <w:r>
        <w:rPr>
          <w:rFonts w:ascii="Arial" w:hAnsi="Times New Roman" w:eastAsia="Times New Roman" w:cs="Times New Roman"/>
          <w:sz w:val="24"/>
          <w:shd w:val="clear" w:color="auto" w:fill="FFFFFF"/>
        </w:rPr>
        <w:t>·Nagtegaal, J. 2023. Politically Animated: Non-fiction Animation from the Hispanic World. Canada: University of Toronto Press.</w:t>
      </w:r>
    </w:p>
    <w:p w14:paraId="42E7A25C">
      <w:pPr>
        <w:spacing w:line="360" w:lineRule="auto"/>
        <w:rPr>
          <w:rFonts w:ascii="Arial" w:hAnsi="Arial" w:eastAsia="宋体" w:cs="Arial"/>
          <w:sz w:val="24"/>
          <w:shd w:val="clear" w:color="auto" w:fill="FFFFFF"/>
        </w:rPr>
      </w:pPr>
      <w:r>
        <w:rPr>
          <w:rFonts w:ascii="Arial" w:hAnsi="Times New Roman" w:eastAsia="Times New Roman" w:cs="Times New Roman"/>
          <w:sz w:val="24"/>
          <w:shd w:val="clear" w:color="auto" w:fill="FFFFFF"/>
        </w:rPr>
        <w:t>·Nash, K.&amp; Hight, C. (Eds.). 2014. New Documentary Ecologies: Emerging Platforms, Practices and Discourses . London: Palgrave Macmillan.</w:t>
      </w:r>
    </w:p>
    <w:p w14:paraId="4B4C7CBC">
      <w:pPr>
        <w:spacing w:line="360" w:lineRule="auto"/>
        <w:rPr>
          <w:rFonts w:ascii="Arial" w:hAnsi="Arial" w:eastAsia="宋体" w:cs="Arial"/>
          <w:sz w:val="24"/>
          <w:shd w:val="clear" w:color="auto" w:fill="FFFFFF"/>
        </w:rPr>
      </w:pPr>
      <w:r>
        <w:rPr>
          <w:rFonts w:ascii="Arial" w:hAnsi="Times New Roman" w:eastAsia="Times New Roman" w:cs="Times New Roman"/>
          <w:sz w:val="24"/>
          <w:shd w:val="clear" w:color="auto" w:fill="FFFFFF"/>
        </w:rPr>
        <w:t>·Kriger, J. 2011. Animated Realism: A Behind The Scenes Look at the Animated Documentary Genre, london: Routledge</w:t>
      </w:r>
    </w:p>
    <w:p w14:paraId="505A25EB">
      <w:pPr>
        <w:spacing w:line="360" w:lineRule="auto"/>
        <w:rPr>
          <w:rFonts w:ascii="Arial" w:hAnsi="Arial" w:eastAsia="MS Mincho" w:cs="Arial"/>
          <w:sz w:val="24"/>
          <w:shd w:val="clear" w:color="auto" w:fill="FFFFFF"/>
          <w:lang w:eastAsia="ja-JP"/>
        </w:rPr>
      </w:pPr>
      <w:r>
        <w:rPr>
          <w:rFonts w:ascii="Arial" w:hAnsi="Times New Roman" w:eastAsia="Times New Roman" w:cs="Times New Roman"/>
          <w:sz w:val="24"/>
          <w:shd w:val="clear" w:color="auto" w:fill="FFFFFF"/>
        </w:rPr>
        <w:t xml:space="preserve">Lu, T.T. 2024, Post - animation. Chongqing: </w:t>
      </w:r>
      <w:r>
        <w:rPr>
          <w:rFonts w:ascii="Arial" w:hAnsi="Times New Roman" w:eastAsia="Times New Roman" w:cs="Times New Roman"/>
          <w:sz w:val="24"/>
          <w:shd w:val="clear" w:color="auto" w:fill="FFFFFF"/>
          <w:lang w:val="en-GB" w:eastAsia="ja-JP"/>
        </w:rPr>
        <w:t>Chongqing Publishing House</w:t>
      </w:r>
      <w:r>
        <w:rPr>
          <w:rFonts w:ascii="Arial" w:hAnsi="Times New Roman" w:eastAsia="Times New Roman" w:cs="Times New Roman"/>
          <w:sz w:val="24"/>
          <w:shd w:val="clear" w:color="auto" w:fill="FFFFFF"/>
          <w:lang w:eastAsia="ja-JP"/>
        </w:rPr>
        <w:t>.</w:t>
      </w:r>
    </w:p>
    <w:p w14:paraId="2D6D783F">
      <w:pPr>
        <w:spacing w:line="360" w:lineRule="auto"/>
        <w:rPr>
          <w:rFonts w:ascii="Arial" w:hAnsi="Arial" w:eastAsia="宋体" w:cs="Arial"/>
          <w:sz w:val="24"/>
          <w:shd w:val="clear" w:color="auto" w:fill="FFFFFF"/>
          <w:lang w:eastAsia="ja-JP"/>
        </w:rPr>
      </w:pPr>
      <w:r>
        <w:rPr>
          <w:rFonts w:ascii="Arial" w:hAnsi="Times New Roman" w:eastAsia="Times New Roman" w:cs="Times New Roman"/>
          <w:sz w:val="24"/>
          <w:shd w:val="clear" w:color="auto" w:fill="FFFFFF"/>
        </w:rPr>
        <w:t>·Ehrlich,</w:t>
      </w:r>
      <w:r>
        <w:rPr>
          <w:rFonts w:ascii="Arial" w:hAnsi="Times New Roman" w:eastAsia="Times New Roman" w:cs="Times New Roman"/>
          <w:sz w:val="24"/>
          <w:shd w:val="clear" w:color="auto" w:fill="FFFFFF"/>
          <w:lang w:eastAsia="ja-JP"/>
        </w:rPr>
        <w:t>N.2021</w:t>
      </w:r>
      <w:r>
        <w:rPr>
          <w:rFonts w:ascii="Arial" w:hAnsi="Times New Roman" w:eastAsia="Times New Roman" w:cs="Times New Roman"/>
          <w:sz w:val="24"/>
          <w:shd w:val="clear" w:color="auto" w:fill="FFFFFF"/>
        </w:rPr>
        <w:t>, Animating Truth: Documentary and Visual Culture in the 21st Century.Edinburgh: Edinburgh University Press.</w:t>
      </w:r>
    </w:p>
    <w:p w14:paraId="5BAAD47D">
      <w:pPr>
        <w:spacing w:line="360" w:lineRule="auto"/>
        <w:rPr>
          <w:rFonts w:ascii="Arial" w:hAnsi="Arial" w:eastAsia="宋体" w:cs="Arial"/>
          <w:sz w:val="24"/>
          <w:shd w:val="clear" w:color="auto" w:fill="FFFFFF"/>
        </w:rPr>
      </w:pPr>
      <w:r>
        <w:rPr>
          <w:rFonts w:ascii="Arial" w:hAnsi="Times New Roman" w:eastAsia="Times New Roman" w:cs="Times New Roman"/>
          <w:sz w:val="24"/>
          <w:shd w:val="clear" w:color="auto" w:fill="FFFFFF"/>
        </w:rPr>
        <w:t>·Buchan,S.2013,Pervasive Animation, london: Routledge</w:t>
      </w:r>
    </w:p>
    <w:p w14:paraId="43A6A3D0">
      <w:pPr>
        <w:spacing w:line="360" w:lineRule="auto"/>
        <w:rPr>
          <w:rFonts w:ascii="Arial" w:hAnsi="Arial" w:eastAsia="宋体" w:cs="Arial"/>
          <w:sz w:val="24"/>
          <w:shd w:val="clear" w:color="auto" w:fill="FFFFFF"/>
          <w:lang w:eastAsia="ja-JP"/>
        </w:rPr>
      </w:pPr>
      <w:r>
        <w:rPr>
          <w:rFonts w:ascii="Arial" w:hAnsi="Times New Roman" w:eastAsia="Times New Roman" w:cs="Times New Roman"/>
          <w:sz w:val="24"/>
          <w:shd w:val="clear" w:color="auto" w:fill="FFFFFF"/>
        </w:rPr>
        <w:t>·</w:t>
      </w:r>
      <w:r>
        <w:rPr>
          <w:rFonts w:ascii="Arial" w:hAnsi="Times New Roman" w:eastAsia="Times New Roman" w:cs="Times New Roman"/>
          <w:sz w:val="24"/>
          <w:shd w:val="clear" w:color="auto" w:fill="FFFFFF"/>
          <w:lang w:eastAsia="ja-JP"/>
        </w:rPr>
        <w:t>Haavisto, E. and Wall, G. 2024. Shielin-bough: Building collaboration across the</w:t>
      </w:r>
      <w:r>
        <w:rPr>
          <w:rFonts w:ascii="Arial" w:hAnsi="Times New Roman" w:eastAsia="Times New Roman" w:cs="Times New Roman"/>
          <w:sz w:val="24"/>
          <w:shd w:val="clear" w:color="auto" w:fill="FFFFFF"/>
        </w:rPr>
        <w:t xml:space="preserve"> </w:t>
      </w:r>
      <w:r>
        <w:rPr>
          <w:rFonts w:ascii="Arial" w:hAnsi="Times New Roman" w:eastAsia="Times New Roman" w:cs="Times New Roman"/>
          <w:sz w:val="24"/>
          <w:shd w:val="clear" w:color="auto" w:fill="FFFFFF"/>
          <w:lang w:eastAsia="ja-JP"/>
        </w:rPr>
        <w:t>North.[Online].</w:t>
      </w:r>
    </w:p>
    <w:p w14:paraId="6AE74BAF">
      <w:pPr>
        <w:spacing w:line="360" w:lineRule="auto"/>
        <w:rPr>
          <w:rFonts w:ascii="Arial" w:hAnsi="Arial" w:eastAsia="宋体" w:cs="Arial"/>
          <w:sz w:val="24"/>
          <w:shd w:val="clear" w:color="auto" w:fill="FFFFFF"/>
        </w:rPr>
      </w:pPr>
      <w:r>
        <w:rPr>
          <w:rFonts w:ascii="Arial" w:hAnsi="Times New Roman" w:eastAsia="Times New Roman" w:cs="Times New Roman"/>
          <w:sz w:val="24"/>
          <w:shd w:val="clear" w:color="auto" w:fill="FFFFFF"/>
          <w:lang w:eastAsia="ja-JP"/>
        </w:rPr>
        <w:t>[Accessed</w:t>
      </w:r>
      <w:r>
        <w:rPr>
          <w:rFonts w:ascii="Arial" w:hAnsi="Times New Roman" w:eastAsia="Times New Roman" w:cs="Times New Roman"/>
          <w:sz w:val="24"/>
          <w:shd w:val="clear" w:color="auto" w:fill="FFFFFF"/>
        </w:rPr>
        <w:t xml:space="preserve"> </w:t>
      </w:r>
      <w:r>
        <w:rPr>
          <w:rFonts w:ascii="Arial" w:hAnsi="Times New Roman" w:eastAsia="Times New Roman" w:cs="Times New Roman"/>
          <w:sz w:val="24"/>
          <w:shd w:val="clear" w:color="auto" w:fill="FFFFFF"/>
          <w:lang w:eastAsia="ja-JP"/>
        </w:rPr>
        <w:t>1</w:t>
      </w:r>
      <w:r>
        <w:rPr>
          <w:rFonts w:ascii="Arial" w:hAnsi="Times New Roman" w:eastAsia="Times New Roman" w:cs="Times New Roman"/>
          <w:sz w:val="24"/>
          <w:shd w:val="clear" w:color="auto" w:fill="FFFFFF"/>
        </w:rPr>
        <w:t xml:space="preserve">2 March </w:t>
      </w:r>
      <w:r>
        <w:rPr>
          <w:rFonts w:ascii="Arial" w:hAnsi="Times New Roman" w:eastAsia="Times New Roman" w:cs="Times New Roman"/>
          <w:sz w:val="24"/>
          <w:shd w:val="clear" w:color="auto" w:fill="FFFFFF"/>
          <w:lang w:eastAsia="ja-JP"/>
        </w:rPr>
        <w:t>2025].Available</w:t>
      </w:r>
      <w:r>
        <w:rPr>
          <w:rFonts w:ascii="Arial" w:hAnsi="Times New Roman" w:eastAsia="Times New Roman" w:cs="Times New Roman"/>
          <w:sz w:val="24"/>
          <w:shd w:val="clear" w:color="auto" w:fill="FFFFFF"/>
        </w:rPr>
        <w:t xml:space="preserve"> </w:t>
      </w:r>
      <w:r>
        <w:rPr>
          <w:rFonts w:ascii="Arial" w:hAnsi="Times New Roman" w:eastAsia="Times New Roman" w:cs="Times New Roman"/>
          <w:sz w:val="24"/>
          <w:shd w:val="clear" w:color="auto" w:fill="FFFFFF"/>
          <w:lang w:eastAsia="ja-JP"/>
        </w:rPr>
        <w:t>from: </w:t>
      </w:r>
      <w:r>
        <w:fldChar w:fldCharType="begin"/>
      </w:r>
      <w:r>
        <w:instrText xml:space="preserve"> HYPERLINK "https://radar.gsa.ac.uk/9917/" \t "https://chat.deepseek.com/a/chat/s/_blank" </w:instrText>
      </w:r>
      <w:r>
        <w:fldChar w:fldCharType="separate"/>
      </w:r>
      <w:r>
        <w:rPr>
          <w:rFonts w:ascii="Arial" w:hAnsi="Times New Roman" w:eastAsia="Times New Roman" w:cs="Times New Roman"/>
          <w:sz w:val="24"/>
          <w:shd w:val="clear" w:color="auto" w:fill="FFFFFF"/>
          <w:lang w:eastAsia="ja-JP"/>
        </w:rPr>
        <w:t>https://radar.gsa.ac.uk/9917/</w:t>
      </w:r>
      <w:r>
        <w:rPr>
          <w:rFonts w:ascii="Arial" w:hAnsi="Times New Roman" w:eastAsia="Times New Roman" w:cs="Times New Roman"/>
          <w:sz w:val="24"/>
          <w:shd w:val="clear" w:color="auto" w:fill="FFFFFF"/>
          <w:lang w:eastAsia="ja-JP"/>
        </w:rPr>
        <w:fldChar w:fldCharType="end"/>
      </w:r>
    </w:p>
    <w:p w14:paraId="464F72B5">
      <w:pPr>
        <w:spacing w:line="360" w:lineRule="auto"/>
        <w:rPr>
          <w:rFonts w:ascii="Arial" w:hAnsi="Arial" w:eastAsia="宋体" w:cs="Arial"/>
          <w:sz w:val="24"/>
          <w:shd w:val="clear" w:color="auto" w:fill="FFFFFF"/>
        </w:rPr>
      </w:pPr>
      <w:r>
        <w:rPr>
          <w:rFonts w:ascii="Arial" w:hAnsi="Times New Roman" w:eastAsia="Times New Roman" w:cs="Times New Roman"/>
          <w:sz w:val="24"/>
          <w:shd w:val="clear" w:color="auto" w:fill="FFFFFF"/>
        </w:rPr>
        <w:t>·Corrado, E.M.&amp;Moulaison,H.L.(Eds.).2021,2nd D. Maryland: Rowman &amp; Littlefield</w:t>
      </w:r>
    </w:p>
    <w:p w14:paraId="70F06696">
      <w:pPr>
        <w:spacing w:line="360" w:lineRule="auto"/>
        <w:jc w:val="left"/>
        <w:rPr>
          <w:rFonts w:ascii="Arial" w:hAnsi="Arial" w:eastAsia="宋体" w:cs="Arial"/>
          <w:sz w:val="24"/>
          <w:shd w:val="clear" w:color="auto" w:fill="FFFFFF"/>
        </w:rPr>
      </w:pPr>
      <w:r>
        <w:rPr>
          <w:rFonts w:ascii="Arial" w:hAnsi="Times New Roman" w:eastAsia="Times New Roman" w:cs="Times New Roman"/>
          <w:sz w:val="24"/>
          <w:shd w:val="clear" w:color="auto" w:fill="FFFFFF"/>
        </w:rPr>
        <w:t xml:space="preserve">·Blouin, F.X., Jr. and Rosenberg, W.G. 2011. Processing the Past: Contesting Authority in History and the Archives. New York: Oxford University Press. </w:t>
      </w:r>
    </w:p>
    <w:p w14:paraId="519C8AB8">
      <w:pPr>
        <w:spacing w:line="360" w:lineRule="auto"/>
        <w:jc w:val="left"/>
        <w:rPr>
          <w:rFonts w:ascii="Arial" w:hAnsi="Arial" w:eastAsia="MS Mincho" w:cs="Arial"/>
          <w:sz w:val="24"/>
          <w:shd w:val="clear" w:color="auto" w:fill="FFFFFF"/>
        </w:rPr>
      </w:pPr>
      <w:r>
        <w:rPr>
          <w:rFonts w:ascii="Arial" w:hAnsi="Times New Roman" w:eastAsia="Times New Roman" w:cs="Times New Roman"/>
          <w:sz w:val="24"/>
          <w:shd w:val="clear" w:color="auto" w:fill="FFFFFF"/>
        </w:rPr>
        <w:t>·Yang, C.F. 2021. Changbai shan chongbai yu Changbai shan shenhua yanjiu [The worship of Changbai Mountain and the study of Changbai Mountain mythology]. Manzu Yanjiu [Manchu Studies]. [Online]. 2021(4), Pp. 94-102. [Accessed 20 June 2024]. Available from: https://doi.org/10.3969/j.issn.1006-365X.2021.04.012</w:t>
      </w:r>
      <w:r>
        <w:fldChar w:fldCharType="begin"/>
      </w:r>
      <w:r>
        <w:instrText xml:space="preserve"> HYPERLINK "https://doi.org/10.3969/j.issn.1006-365X.2021.04.012" \t "https://chat.deepseek.com/a/chat/s/_blank" </w:instrText>
      </w:r>
      <w:r>
        <w:fldChar w:fldCharType="separate"/>
      </w:r>
      <w:r>
        <w:fldChar w:fldCharType="end"/>
      </w:r>
    </w:p>
    <w:p w14:paraId="7D8282FE">
      <w:pPr>
        <w:spacing w:line="360" w:lineRule="auto"/>
        <w:jc w:val="left"/>
        <w:rPr>
          <w:rFonts w:ascii="Arial" w:hAnsi="Arial" w:eastAsia="MS Mincho" w:cs="Arial"/>
          <w:sz w:val="24"/>
          <w:shd w:val="clear" w:color="auto" w:fill="FFFFFF"/>
        </w:rPr>
      </w:pPr>
      <w:r>
        <w:rPr>
          <w:rFonts w:ascii="Arial" w:hAnsi="Times New Roman" w:eastAsia="Times New Roman" w:cs="Times New Roman"/>
          <w:sz w:val="24"/>
          <w:shd w:val="clear" w:color="auto" w:fill="FFFFFF"/>
        </w:rPr>
        <w:t>·Liu, J.X. 2020. The modern evolution of Hongshan folk legends. Communication Power Research. [Online]. 9, Pp. 40 and 41. [Accessed 18 April 2025]. Available from: https://doi.org/10.20112/j.cnki.issn1007-5828.2020.09.026</w:t>
      </w:r>
      <w:r>
        <w:fldChar w:fldCharType="begin"/>
      </w:r>
      <w:r>
        <w:instrText xml:space="preserve"> HYPERLINK "https://doi.org/10.20112/j.cnki.issn1007-5828.2020.09.026" \t "https://chat.deepseek.com/a/chat/s/_blank" </w:instrText>
      </w:r>
      <w:r>
        <w:fldChar w:fldCharType="separate"/>
      </w:r>
      <w:r>
        <w:fldChar w:fldCharType="end"/>
      </w:r>
    </w:p>
    <w:p w14:paraId="12E8356D">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·Collier, J. and Collier, M. 1986. Visual Anthropology: Photography as a Research Method. Albuquerque: University of New Mexico Press.</w:t>
      </w:r>
    </w:p>
    <w:p w14:paraId="7156407B">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·Morphy, H. and Perkins, M. (Eds.) 2006. The Anthropology of Art: A Reader. Malden: Blackwell Publishing.</w:t>
      </w:r>
    </w:p>
    <w:p w14:paraId="14F49D22">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·Pink, S., Hahn, O. and Dietze, R. (Eds.) 2022. Digital Materialities in Anthropology: Beyond the Digital Divide. London: Routledge.</w:t>
      </w:r>
    </w:p>
    <w:p w14:paraId="073CCAF1">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·Ruby, J. 2000. Picturing Culture: Essays on Film and Anthropology. Chicago: University of Chicago Press.</w:t>
      </w:r>
    </w:p>
    <w:p w14:paraId="42422BC2">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·Bishop, C. 2012. Artificial Hells: Participatory Art and the Politics of Spectatorship. London: Verso.</w:t>
      </w:r>
    </w:p>
    <w:p w14:paraId="7F9591C2">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·Kester, G.H. 2004. Conversation Pieces: Community and Communication in Modern Art. Berkeley: University of California Press.</w:t>
      </w:r>
    </w:p>
    <w:p w14:paraId="2805A8FA">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·Barker, J. 2017. The Tactile Eye: Touch and the Cinematic Experience. Berkeley: University of California Press.</w:t>
      </w:r>
    </w:p>
    <w:p w14:paraId="7C304F11">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·Hosea, B. 2019. Experimental animation: From analogue to digital. Loudon: Routledge.</w:t>
      </w:r>
    </w:p>
    <w:p w14:paraId="64562D9E">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·Doty, W. G. 2017. Ecocriticism and Myth: Nature, Culture, and Narrative. London: Routledge.</w:t>
      </w:r>
    </w:p>
    <w:p w14:paraId="5920FCB6">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·Blank, T. J. (Ed.). 2013. Oral Tradition in the Digital Age. Logan: Utah State University Press.</w:t>
      </w:r>
    </w:p>
    <w:p w14:paraId="618BA4B0">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·Bauman, R. 1986. Storytelling as Performance: The Ethnography of Oral Narrative. Bloomington: Indiana University Press.</w:t>
      </w:r>
    </w:p>
    <w:p w14:paraId="4539D438">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·Lindow, J. 2001. Norse Mythology: A Guide to Gods, Heroes, Rituals, and Beliefs. Oxford: Oxford University Press.</w:t>
      </w:r>
    </w:p>
    <w:p w14:paraId="568F51D7">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·MacDougall, D. 2019. The Looking Machine: Essays on Cinema, Anthropology, and Documentary Filmmaking. Manchester: Manchester University Press.</w:t>
      </w:r>
    </w:p>
    <w:p w14:paraId="53439BB7">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·Pink, S. 2015. Digital Ethnography: Principles and Practice. London: Sage.</w:t>
      </w:r>
    </w:p>
    <w:p w14:paraId="63B9A9EC">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·Stewart, P. J., &amp; Strathern, A. (Eds.). (2003). Landscape, memory and history: Anthropological perspectives. London: Pluto Press.</w:t>
      </w:r>
    </w:p>
    <w:p w14:paraId="64B8B8E5">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·Coomans, T., Cattoor, B., &amp; De Jonge, K. (Eds.). (2019). Mapping landscapes in transformation: Multidisciplinary methods for historical analysis. Leuven: Leuven University Press.</w:t>
      </w:r>
    </w:p>
    <w:p w14:paraId="1D9A1431">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·MacDougall, D. 2020. Film, land, and identity: Visual anthropology of the landscape. Oxford: Berghahn Books.</w:t>
      </w:r>
    </w:p>
    <w:p w14:paraId="3B055DF7">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·Helander-Renvall, E., &amp; Markkula, I. (2017). On the transfer of Sami traditional knowledge: Scientifcation, traditionalization, secrecy, and equality. In A. Xanthaki, S. Valkonen, L. Heinamaki &amp; P. K. Nuorgam (Eds.), Indigenous peoples' cultural heritage: Rights, debates, challenges (pp. 104–129). Brill Nijhof.</w:t>
      </w:r>
    </w:p>
    <w:p w14:paraId="57F28F1E">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·Shanks, M. and Svabo, C. 2014. Archaeology and Photography: Time, Objectivity and Archive. London: Bloomsbury Academic.</w:t>
      </w:r>
    </w:p>
    <w:p w14:paraId="0F694931">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 Petursdottir,. and Olsen, B. 2022. The Archaeology of Seeing: Science and Interpretation, the Past and Contemporary Visual Culture. London: Routledge.</w:t>
      </w:r>
    </w:p>
    <w:p w14:paraId="5529A7BA">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·Day, J. and Skeates, R. (eds.). 2020. Sensory Archaeology: Theory and Practice. Oxford: Oxbow Books.</w:t>
      </w:r>
    </w:p>
    <w:p w14:paraId="3A147CFD">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·Basso, K. H. 1996. Wisdom Sits in Places: Landscape and Language Among the Western Apache. Albuquerque: University of New Mexico Press.</w:t>
      </w:r>
    </w:p>
    <w:p w14:paraId="3F0BB766">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·Huang, Y. and Chen, Y. 2021. Ecological Art in the Chinese Highlands: Practices and Challenges. Kunming: Yunnan University Press.</w:t>
      </w:r>
    </w:p>
    <w:p w14:paraId="3F879474">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·Allerton, C. (ed.). 2019. Spiritual Landscapes of Southeast Asia: Anthropological Perspectives. Amsterdam: Amsterdam University Press.</w:t>
      </w:r>
    </w:p>
    <w:p w14:paraId="4F56FC28">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·Hugh-Jones, S. 2019. The Palm and the Pleiades: Initiation and Cosmology in Northwest Amazonia. Cambridge: Cambridge University Press.</w:t>
      </w:r>
    </w:p>
    <w:p w14:paraId="57147873">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·Ingold, T. 2000. The Perception of the Environment: Essays on Livelihood, Dwelling and Skill. London: Routledge.</w:t>
      </w:r>
    </w:p>
    <w:p w14:paraId="475DBF86">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·Basso, K. H. 1996. Wisdom Sits in Places: Landscape and Language Among the Western Apache. Albuquerque: University of New Mexico Press.</w:t>
      </w:r>
    </w:p>
    <w:p w14:paraId="72895929">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·Nichols, B. 2016. Speaking Truths with Film: Evidence, Ethics, Politics in Documentary. Oakland: University of California Press.</w:t>
      </w:r>
    </w:p>
    <w:p w14:paraId="1A2E5FCD">
      <w:pPr>
        <w:spacing w:line="360" w:lineRule="auto"/>
        <w:rPr>
          <w:rFonts w:ascii="Arial" w:hAnsi="Arial" w:eastAsia="MS Mincho" w:cs="Arial"/>
          <w:sz w:val="24"/>
          <w:shd w:val="clear" w:color="auto" w:fill="FFFFFF"/>
        </w:rPr>
      </w:pPr>
      <w:r>
        <w:rPr>
          <w:rFonts w:ascii="Arial" w:hAnsi="Times New Roman" w:eastAsia="Times New Roman" w:cs="Times New Roman"/>
          <w:sz w:val="24"/>
          <w:shd w:val="clear" w:color="auto" w:fill="FFFFFF"/>
        </w:rPr>
        <w:t>·Rascaroli, L. 2022. How the Essay Film Thinks: Myth and Memory in Contemporary Cinema. Oxford: Oxford University Press.</w:t>
      </w:r>
    </w:p>
    <w:p w14:paraId="001DF027">
      <w:pPr>
        <w:spacing w:line="360" w:lineRule="auto"/>
        <w:rPr>
          <w:rFonts w:ascii="Arial" w:hAnsi="Arial" w:eastAsia="宋体" w:cs="Arial"/>
          <w:sz w:val="24"/>
        </w:rPr>
      </w:pPr>
    </w:p>
    <w:p w14:paraId="1792AFE2">
      <w:pPr>
        <w:spacing w:line="360" w:lineRule="auto"/>
        <w:rPr>
          <w:rFonts w:ascii="Arial" w:hAnsi="Arial" w:eastAsia="MS Mincho" w:cs="Arial"/>
          <w:sz w:val="24"/>
          <w:shd w:val="clear" w:color="auto" w:fill="FFFFFF"/>
        </w:rPr>
      </w:pPr>
    </w:p>
    <w:p w14:paraId="71722EEB">
      <w:pPr>
        <w:spacing w:line="360" w:lineRule="auto"/>
        <w:rPr>
          <w:rFonts w:ascii="Arial" w:hAnsi="Arial" w:eastAsia="MS Mincho" w:cs="Arial"/>
          <w:sz w:val="24"/>
          <w:shd w:val="clear" w:color="auto" w:fill="FFFFFF"/>
        </w:rPr>
      </w:pPr>
    </w:p>
    <w:p w14:paraId="447ECFF5">
      <w:pPr>
        <w:spacing w:line="360" w:lineRule="auto"/>
        <w:rPr>
          <w:rFonts w:ascii="Arial" w:hAnsi="Arial" w:eastAsia="MS Mincho" w:cs="Arial"/>
          <w:sz w:val="24"/>
          <w:shd w:val="clear" w:color="auto" w:fill="FFFFFF"/>
        </w:rPr>
      </w:pPr>
    </w:p>
    <w:p w14:paraId="4FFCCD49">
      <w:pPr>
        <w:spacing w:line="360" w:lineRule="auto"/>
        <w:rPr>
          <w:rFonts w:ascii="Arial" w:hAnsi="Arial" w:eastAsia="宋体" w:cs="Arial"/>
          <w:sz w:val="24"/>
        </w:rPr>
      </w:pPr>
    </w:p>
    <w:p w14:paraId="305C36D9">
      <w:pPr>
        <w:spacing w:line="360" w:lineRule="auto"/>
        <w:rPr>
          <w:rFonts w:ascii="Arial" w:hAnsi="Arial" w:eastAsia="宋体" w:cs="Arial"/>
          <w:sz w:val="24"/>
        </w:rPr>
      </w:pPr>
    </w:p>
    <w:p w14:paraId="5CB0E7B1">
      <w:pPr>
        <w:spacing w:line="360" w:lineRule="auto"/>
        <w:rPr>
          <w:rFonts w:ascii="Arial" w:hAnsi="Arial" w:eastAsia="宋体" w:cs="Arial"/>
          <w:sz w:val="24"/>
        </w:rPr>
      </w:pPr>
    </w:p>
    <w:p w14:paraId="09B5485F">
      <w:pPr>
        <w:spacing w:line="360" w:lineRule="auto"/>
        <w:rPr>
          <w:rFonts w:ascii="Arial" w:hAnsi="Arial" w:eastAsia="MS Mincho" w:cs="Arial"/>
          <w:sz w:val="24"/>
          <w:shd w:val="clear" w:color="auto" w:fill="FFFFFF"/>
        </w:rPr>
      </w:pPr>
    </w:p>
    <w:p w14:paraId="0AA61A8A">
      <w:pPr>
        <w:spacing w:line="360" w:lineRule="auto"/>
        <w:rPr>
          <w:rFonts w:ascii="Arial" w:hAnsi="Arial" w:eastAsia="MS Mincho" w:cs="Arial"/>
          <w:sz w:val="24"/>
          <w:shd w:val="clear" w:color="auto" w:fill="FFFFFF"/>
        </w:rPr>
      </w:pPr>
    </w:p>
    <w:p w14:paraId="2154D230">
      <w:pPr>
        <w:spacing w:line="360" w:lineRule="auto"/>
        <w:rPr>
          <w:rFonts w:ascii="Arial" w:hAnsi="Arial" w:eastAsia="MS Mincho" w:cs="Arial"/>
          <w:sz w:val="24"/>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6DA824"/>
    <w:multiLevelType w:val="multilevel"/>
    <w:tmpl w:val="816DA824"/>
    <w:lvl w:ilvl="0" w:tentative="0">
      <w:start w:val="3"/>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615E3CAA"/>
    <w:multiLevelType w:val="singleLevel"/>
    <w:tmpl w:val="615E3CAA"/>
    <w:lvl w:ilvl="0" w:tentative="0">
      <w:start w:val="7"/>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0AD"/>
    <w:rsid w:val="001412D2"/>
    <w:rsid w:val="0019109D"/>
    <w:rsid w:val="002D2D54"/>
    <w:rsid w:val="007873FF"/>
    <w:rsid w:val="007D6B9E"/>
    <w:rsid w:val="00892D7F"/>
    <w:rsid w:val="009531BE"/>
    <w:rsid w:val="009A34C6"/>
    <w:rsid w:val="00B03332"/>
    <w:rsid w:val="00CC20AD"/>
    <w:rsid w:val="00D23697"/>
    <w:rsid w:val="00D50BD6"/>
    <w:rsid w:val="00D5675B"/>
    <w:rsid w:val="00DC0A94"/>
    <w:rsid w:val="00FB6C96"/>
    <w:rsid w:val="026849F8"/>
    <w:rsid w:val="04784101"/>
    <w:rsid w:val="078659E5"/>
    <w:rsid w:val="08395955"/>
    <w:rsid w:val="09425489"/>
    <w:rsid w:val="0BAC19CD"/>
    <w:rsid w:val="0DA729E8"/>
    <w:rsid w:val="0DB560D3"/>
    <w:rsid w:val="0E80608C"/>
    <w:rsid w:val="177D58D9"/>
    <w:rsid w:val="17B56711"/>
    <w:rsid w:val="18044527"/>
    <w:rsid w:val="1A0559D7"/>
    <w:rsid w:val="1B2379DC"/>
    <w:rsid w:val="1BFD45D9"/>
    <w:rsid w:val="1DE26ADA"/>
    <w:rsid w:val="1EFF2FFD"/>
    <w:rsid w:val="1F2E6B9D"/>
    <w:rsid w:val="213B353F"/>
    <w:rsid w:val="229F6C62"/>
    <w:rsid w:val="24A179A3"/>
    <w:rsid w:val="24C83E91"/>
    <w:rsid w:val="26485C24"/>
    <w:rsid w:val="27233601"/>
    <w:rsid w:val="2AB55748"/>
    <w:rsid w:val="2CD44F00"/>
    <w:rsid w:val="2D3B5B48"/>
    <w:rsid w:val="2D4417D0"/>
    <w:rsid w:val="2DF54205"/>
    <w:rsid w:val="2F827A5E"/>
    <w:rsid w:val="2FC66065"/>
    <w:rsid w:val="315F557E"/>
    <w:rsid w:val="34E645EB"/>
    <w:rsid w:val="356E6B0B"/>
    <w:rsid w:val="36835E6A"/>
    <w:rsid w:val="38272B92"/>
    <w:rsid w:val="38BD4F0A"/>
    <w:rsid w:val="393D2C48"/>
    <w:rsid w:val="39FD0531"/>
    <w:rsid w:val="3CCC056A"/>
    <w:rsid w:val="3E611186"/>
    <w:rsid w:val="406F3A6E"/>
    <w:rsid w:val="44846CB4"/>
    <w:rsid w:val="4521564B"/>
    <w:rsid w:val="474D77F3"/>
    <w:rsid w:val="490C2CF3"/>
    <w:rsid w:val="491C421C"/>
    <w:rsid w:val="498B7EF7"/>
    <w:rsid w:val="49BC54C3"/>
    <w:rsid w:val="4CF06630"/>
    <w:rsid w:val="4D7B1358"/>
    <w:rsid w:val="5474356A"/>
    <w:rsid w:val="547A1779"/>
    <w:rsid w:val="55187724"/>
    <w:rsid w:val="598002BB"/>
    <w:rsid w:val="59BE493E"/>
    <w:rsid w:val="5B7812E7"/>
    <w:rsid w:val="5BDB1EAB"/>
    <w:rsid w:val="5C1B304E"/>
    <w:rsid w:val="5D313908"/>
    <w:rsid w:val="62FC4C6A"/>
    <w:rsid w:val="65B540AD"/>
    <w:rsid w:val="65D45DBA"/>
    <w:rsid w:val="67DA14DE"/>
    <w:rsid w:val="6965127B"/>
    <w:rsid w:val="6FDC0DA1"/>
    <w:rsid w:val="726B5B54"/>
    <w:rsid w:val="72CE3026"/>
    <w:rsid w:val="73155AC0"/>
    <w:rsid w:val="73970283"/>
    <w:rsid w:val="73CB6621"/>
    <w:rsid w:val="742A0A5C"/>
    <w:rsid w:val="744C5512"/>
    <w:rsid w:val="758D4034"/>
    <w:rsid w:val="76980B7D"/>
    <w:rsid w:val="77DE2925"/>
    <w:rsid w:val="785610A2"/>
    <w:rsid w:val="7C9E254C"/>
    <w:rsid w:val="7CFA24B8"/>
    <w:rsid w:val="7D8950E1"/>
    <w:rsid w:val="7E17093E"/>
    <w:rsid w:val="7E6542DA"/>
    <w:rsid w:val="7F5B0CFF"/>
    <w:rsid w:val="7FDF1C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9">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16"/>
    <w:qFormat/>
    <w:uiPriority w:val="0"/>
    <w:rPr>
      <w:sz w:val="20"/>
      <w:szCs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link w:val="15"/>
    <w:qFormat/>
    <w:uiPriority w:val="0"/>
    <w:pP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character" w:styleId="10">
    <w:name w:val="Strong"/>
    <w:basedOn w:val="9"/>
    <w:qFormat/>
    <w:uiPriority w:val="0"/>
    <w:rPr>
      <w:b/>
    </w:rPr>
  </w:style>
  <w:style w:type="character" w:styleId="11">
    <w:name w:val="Emphasis"/>
    <w:basedOn w:val="9"/>
    <w:qFormat/>
    <w:uiPriority w:val="0"/>
    <w:rPr>
      <w:i/>
    </w:rPr>
  </w:style>
  <w:style w:type="character" w:styleId="12">
    <w:name w:val="Hyperlink"/>
    <w:basedOn w:val="9"/>
    <w:qFormat/>
    <w:uiPriority w:val="0"/>
    <w:rPr>
      <w:color w:val="0000FF"/>
      <w:u w:val="single"/>
    </w:rPr>
  </w:style>
  <w:style w:type="character" w:styleId="13">
    <w:name w:val="annotation reference"/>
    <w:basedOn w:val="9"/>
    <w:qFormat/>
    <w:uiPriority w:val="0"/>
    <w:rPr>
      <w:sz w:val="16"/>
      <w:szCs w:val="16"/>
    </w:rPr>
  </w:style>
  <w:style w:type="paragraph" w:styleId="14">
    <w:name w:val="List Paragraph"/>
    <w:basedOn w:val="1"/>
    <w:unhideWhenUsed/>
    <w:qFormat/>
    <w:uiPriority w:val="99"/>
    <w:pPr>
      <w:ind w:firstLine="420" w:firstLineChars="200"/>
    </w:pPr>
  </w:style>
  <w:style w:type="character" w:customStyle="1" w:styleId="15">
    <w:name w:val="Header Char"/>
    <w:basedOn w:val="9"/>
    <w:link w:val="6"/>
    <w:qFormat/>
    <w:uiPriority w:val="0"/>
    <w:rPr>
      <w:rFonts w:asciiTheme="minorHAnsi" w:hAnsiTheme="minorHAnsi" w:eastAsiaTheme="minorEastAsia" w:cstheme="minorBidi"/>
      <w:kern w:val="2"/>
      <w:sz w:val="18"/>
      <w:szCs w:val="18"/>
    </w:rPr>
  </w:style>
  <w:style w:type="character" w:customStyle="1" w:styleId="16">
    <w:name w:val="Comment Text Char"/>
    <w:basedOn w:val="9"/>
    <w:link w:val="4"/>
    <w:qFormat/>
    <w:uiPriority w:val="0"/>
    <w:rPr>
      <w:rFonts w:asciiTheme="minorHAnsi" w:hAnsiTheme="minorHAnsi" w:eastAsiaTheme="minorEastAsia" w:cstheme="minorBidi"/>
      <w:kern w:val="2"/>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2808</Words>
  <Characters>17858</Characters>
  <Lines>151</Lines>
  <Paragraphs>42</Paragraphs>
  <TotalTime>5</TotalTime>
  <ScaleCrop>false</ScaleCrop>
  <LinksUpToDate>false</LinksUpToDate>
  <CharactersWithSpaces>20587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2025-05-16T17:43:00Z</dcterms:created>
  <dc:creator>admin</dc:creator>
  <cp:lastModifiedBy>鲁婷婷 Lutingting</cp:lastModifiedBy>
  <dcterms:modified xsi:type="dcterms:W3CDTF">2025-05-24T11:21:54Z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eyJoZGlkIjoiZWQ0YzE5ZWZkNzc2NTA3OWI0MmUxNjQ3YmRkYTVmMjQiLCJ1c2VySWQiOiIyODcwOTI4ODkifQ==</vt:lpwstr>
  </property>
  <property fmtid="{D5CDD505-2E9C-101B-9397-08002B2CF9AE}" pid="4" name="ICV">
    <vt:lpwstr>F43435B5065EDBBFE0F326688BB2194F_43</vt:lpwstr>
  </property>
</Properties>
</file>