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51AE0" w14:textId="344DBAB0" w:rsidR="00245884" w:rsidRPr="004F4517" w:rsidRDefault="00FB10BC">
      <w:pPr>
        <w:pStyle w:val="Titledocument"/>
        <w:rPr>
          <w:szCs w:val="24"/>
        </w:rPr>
      </w:pPr>
      <w:r w:rsidRPr="004F4517">
        <w:rPr>
          <w:szCs w:val="24"/>
        </w:rPr>
        <w:t>Research on Enterprise Sales Forecast and Business Decision Based on LSTM-GRU</w:t>
      </w:r>
    </w:p>
    <w:p w14:paraId="50B50FDD" w14:textId="417E5418" w:rsidR="00245884" w:rsidRPr="004F4517" w:rsidRDefault="0023752B">
      <w:pPr>
        <w:pStyle w:val="Authors"/>
        <w:rPr>
          <w:rFonts w:eastAsiaTheme="minorEastAsia"/>
          <w:caps w:val="0"/>
          <w:sz w:val="18"/>
          <w:szCs w:val="18"/>
        </w:rPr>
      </w:pPr>
      <w:r w:rsidRPr="004F4517">
        <w:rPr>
          <w:rFonts w:eastAsiaTheme="minorEastAsia"/>
          <w:caps w:val="0"/>
          <w:sz w:val="18"/>
          <w:szCs w:val="18"/>
        </w:rPr>
        <w:t>Mengyao Li</w:t>
      </w:r>
    </w:p>
    <w:p w14:paraId="4D2E814D" w14:textId="6DA7C5A7" w:rsidR="00245884" w:rsidRPr="004F4517" w:rsidRDefault="00510380">
      <w:pPr>
        <w:pStyle w:val="Affiliation"/>
        <w:rPr>
          <w:rFonts w:eastAsiaTheme="minorEastAsia"/>
          <w:szCs w:val="18"/>
        </w:rPr>
      </w:pPr>
      <w:r w:rsidRPr="004F4517">
        <w:rPr>
          <w:rFonts w:eastAsiaTheme="minorEastAsia"/>
          <w:szCs w:val="18"/>
          <w:highlight w:val="yellow"/>
        </w:rPr>
        <w:t>Chinese Academy Sciences, Beijing, 100101</w:t>
      </w:r>
      <w:r w:rsidRPr="004F4517">
        <w:rPr>
          <w:rFonts w:eastAsiaTheme="minorEastAsia" w:hint="eastAsia"/>
          <w:szCs w:val="18"/>
          <w:highlight w:val="yellow"/>
          <w:lang w:eastAsia="zh-CN"/>
        </w:rPr>
        <w:t>,</w:t>
      </w:r>
      <w:r w:rsidR="007B20D0" w:rsidRPr="004F4517">
        <w:rPr>
          <w:rFonts w:eastAsiaTheme="minorEastAsia"/>
          <w:szCs w:val="18"/>
          <w:highlight w:val="yellow"/>
        </w:rPr>
        <w:t xml:space="preserve"> </w:t>
      </w:r>
      <w:r w:rsidRPr="004F4517">
        <w:rPr>
          <w:rFonts w:eastAsiaTheme="minorEastAsia"/>
          <w:szCs w:val="18"/>
          <w:highlight w:val="yellow"/>
        </w:rPr>
        <w:t>@163.com</w:t>
      </w:r>
    </w:p>
    <w:p w14:paraId="0DFDFDF1" w14:textId="77777777" w:rsidR="00245884" w:rsidRPr="004F4517" w:rsidRDefault="007B20D0">
      <w:pPr>
        <w:pStyle w:val="Abstract"/>
        <w:rPr>
          <w:b/>
          <w:bCs/>
          <w:sz w:val="18"/>
          <w:szCs w:val="18"/>
        </w:rPr>
      </w:pPr>
      <w:r w:rsidRPr="004F4517">
        <w:rPr>
          <w:b/>
          <w:bCs/>
          <w:sz w:val="18"/>
          <w:szCs w:val="18"/>
        </w:rPr>
        <w:t>Abstract</w:t>
      </w:r>
    </w:p>
    <w:p w14:paraId="6403AC3D" w14:textId="7BB2CC34" w:rsidR="00245884" w:rsidRPr="004F4517" w:rsidRDefault="00FB10BC">
      <w:pPr>
        <w:pStyle w:val="Abstract"/>
        <w:rPr>
          <w:sz w:val="18"/>
          <w:szCs w:val="18"/>
        </w:rPr>
      </w:pPr>
      <w:r w:rsidRPr="004F4517">
        <w:rPr>
          <w:sz w:val="18"/>
          <w:szCs w:val="18"/>
        </w:rPr>
        <w:t>Aiming at the contradiction between lag of traditional sales forecasting methods and sensitivity of market fluctuation, this paper proposes a multi-index collaborative forecasting framework based on LSTM-GRU hybrid model. By fusing the long-term regularity modeling capability of LSTM with the short-term abrupt response characteristics of GRU, a joint forecasting model for sales, market share, inventory turnover and marketing cost is established. The experiment shows that the average absolute error of sales forecast in real business data is reduced to 28,000 yuan, the average absolute percentage error of market share forecast is compressed to 7.3%, the average absolute error of inventory turnover forecast is reduced to 1.2 times/quarter, and the forecast error is always lower than the risk control threshold in macroeconomic fluctuation scenarios. By analyzing the multi-index dynamic coupling mechanism, the model provides high-precision decision support for enterprise resource dynamic scheduling and management strategy optimization</w:t>
      </w:r>
      <w:r w:rsidR="007B20D0" w:rsidRPr="004F4517">
        <w:rPr>
          <w:sz w:val="18"/>
          <w:szCs w:val="18"/>
        </w:rPr>
        <w:t xml:space="preserve">. </w:t>
      </w:r>
    </w:p>
    <w:p w14:paraId="7BF38802" w14:textId="77777777" w:rsidR="00245884" w:rsidRPr="004F4517" w:rsidRDefault="007B20D0">
      <w:pPr>
        <w:pStyle w:val="CCSDescription"/>
        <w:rPr>
          <w:szCs w:val="18"/>
        </w:rPr>
      </w:pPr>
      <w:r w:rsidRPr="004F4517">
        <w:rPr>
          <w:rStyle w:val="CCSHeadchar"/>
          <w:sz w:val="18"/>
          <w:szCs w:val="18"/>
        </w:rPr>
        <w:t xml:space="preserve">CCS CONCEPTS </w:t>
      </w:r>
    </w:p>
    <w:p w14:paraId="48B5AB7D" w14:textId="2E0D0AD6" w:rsidR="00245884" w:rsidRPr="004F4517" w:rsidRDefault="00B54B32">
      <w:pPr>
        <w:pStyle w:val="CCSDescription"/>
        <w:rPr>
          <w:b w:val="0"/>
          <w:szCs w:val="18"/>
        </w:rPr>
      </w:pPr>
      <w:r w:rsidRPr="004F4517">
        <w:rPr>
          <w:b w:val="0"/>
          <w:szCs w:val="18"/>
        </w:rPr>
        <w:t>Applied computing</w:t>
      </w:r>
      <w:r w:rsidR="007B20D0" w:rsidRPr="004F4517">
        <w:rPr>
          <w:b w:val="0"/>
          <w:szCs w:val="18"/>
        </w:rPr>
        <w:t xml:space="preserve"> ~ </w:t>
      </w:r>
      <w:r w:rsidR="00FB10BC" w:rsidRPr="004F4517">
        <w:rPr>
          <w:b w:val="0"/>
          <w:szCs w:val="18"/>
        </w:rPr>
        <w:t>Enterprise computing</w:t>
      </w:r>
      <w:r w:rsidRPr="004F4517">
        <w:rPr>
          <w:b w:val="0"/>
          <w:szCs w:val="18"/>
        </w:rPr>
        <w:t xml:space="preserve"> ~ </w:t>
      </w:r>
      <w:r w:rsidR="00FB10BC" w:rsidRPr="004F4517">
        <w:rPr>
          <w:b w:val="0"/>
          <w:szCs w:val="18"/>
        </w:rPr>
        <w:t>Business process management ~ Business intelligence</w:t>
      </w:r>
    </w:p>
    <w:p w14:paraId="7C80B080" w14:textId="77777777" w:rsidR="00245884" w:rsidRPr="004F4517" w:rsidRDefault="007B20D0">
      <w:pPr>
        <w:pStyle w:val="KeyWords"/>
        <w:rPr>
          <w:rStyle w:val="KeyWordHeadchar"/>
          <w:b/>
          <w:sz w:val="18"/>
          <w:szCs w:val="18"/>
        </w:rPr>
      </w:pPr>
      <w:r w:rsidRPr="004F4517">
        <w:rPr>
          <w:rStyle w:val="KeyWordHeadchar"/>
          <w:b/>
          <w:sz w:val="18"/>
          <w:szCs w:val="18"/>
        </w:rPr>
        <w:t>Keywords</w:t>
      </w:r>
    </w:p>
    <w:p w14:paraId="253B91B2" w14:textId="15FEE27A" w:rsidR="00583B03" w:rsidRPr="004F4517" w:rsidRDefault="00FB10BC">
      <w:pPr>
        <w:pStyle w:val="KeyWords"/>
        <w:rPr>
          <w:szCs w:val="18"/>
        </w:rPr>
      </w:pPr>
      <w:r w:rsidRPr="004F4517">
        <w:rPr>
          <w:szCs w:val="18"/>
        </w:rPr>
        <w:t>Enterprise</w:t>
      </w:r>
      <w:r w:rsidRPr="004F4517">
        <w:rPr>
          <w:szCs w:val="18"/>
        </w:rPr>
        <w:t xml:space="preserve"> sales forec</w:t>
      </w:r>
      <w:r w:rsidRPr="004F4517">
        <w:rPr>
          <w:szCs w:val="18"/>
        </w:rPr>
        <w:t>ast</w:t>
      </w:r>
      <w:r w:rsidR="007B20D0" w:rsidRPr="004F4517">
        <w:rPr>
          <w:szCs w:val="18"/>
        </w:rPr>
        <w:t xml:space="preserve">, </w:t>
      </w:r>
      <w:r w:rsidRPr="004F4517">
        <w:rPr>
          <w:szCs w:val="18"/>
        </w:rPr>
        <w:t xml:space="preserve">Business </w:t>
      </w:r>
      <w:r w:rsidRPr="004F4517">
        <w:rPr>
          <w:szCs w:val="18"/>
        </w:rPr>
        <w:t>de</w:t>
      </w:r>
      <w:r w:rsidRPr="004F4517">
        <w:rPr>
          <w:szCs w:val="18"/>
        </w:rPr>
        <w:t>cision</w:t>
      </w:r>
      <w:r w:rsidR="00583B03" w:rsidRPr="004F4517">
        <w:rPr>
          <w:rFonts w:hint="eastAsia"/>
          <w:szCs w:val="18"/>
        </w:rPr>
        <w:t>,</w:t>
      </w:r>
      <w:r w:rsidR="00583B03" w:rsidRPr="004F4517">
        <w:rPr>
          <w:szCs w:val="18"/>
        </w:rPr>
        <w:t xml:space="preserve"> </w:t>
      </w:r>
      <w:r w:rsidRPr="004F4517">
        <w:rPr>
          <w:szCs w:val="18"/>
        </w:rPr>
        <w:t>LSTM-GRU</w:t>
      </w:r>
      <w:r w:rsidRPr="004F4517">
        <w:rPr>
          <w:szCs w:val="18"/>
        </w:rPr>
        <w:t>, H</w:t>
      </w:r>
      <w:r w:rsidRPr="004F4517">
        <w:rPr>
          <w:szCs w:val="18"/>
        </w:rPr>
        <w:t>ybrid model</w:t>
      </w:r>
    </w:p>
    <w:p w14:paraId="4DF4A497" w14:textId="77777777" w:rsidR="00245884" w:rsidRPr="004F4517" w:rsidRDefault="007B20D0">
      <w:pPr>
        <w:pStyle w:val="Head1"/>
        <w:tabs>
          <w:tab w:val="clear" w:pos="360"/>
        </w:tabs>
        <w:ind w:left="432" w:hanging="432"/>
        <w:rPr>
          <w:szCs w:val="18"/>
        </w:rPr>
      </w:pPr>
      <w:r w:rsidRPr="004F4517">
        <w:rPr>
          <w:szCs w:val="18"/>
        </w:rPr>
        <w:t>Introduction</w:t>
      </w:r>
    </w:p>
    <w:p w14:paraId="00A276C9" w14:textId="40E43ECB" w:rsidR="00FB10BC" w:rsidRPr="004F4517" w:rsidRDefault="00FB10BC" w:rsidP="00FB10BC">
      <w:pPr>
        <w:pStyle w:val="PostHeadPara"/>
        <w:rPr>
          <w:szCs w:val="18"/>
        </w:rPr>
      </w:pPr>
      <w:r w:rsidRPr="004F4517">
        <w:rPr>
          <w:szCs w:val="18"/>
        </w:rPr>
        <w:t>The global market competition intensifies makes the enterprise sales forecast accuracy become the key support of business decision-making</w:t>
      </w:r>
      <w:r w:rsidR="00D52753">
        <w:rPr>
          <w:szCs w:val="18"/>
        </w:rPr>
        <w:t xml:space="preserve"> [1]</w:t>
      </w:r>
      <w:r w:rsidRPr="004F4517">
        <w:rPr>
          <w:szCs w:val="18"/>
        </w:rPr>
        <w:t>. Linear regression or time series decomposition are usually used in traditional sales forecasting methods, but this static modeling model is difficult to adapt to nonlinear market changes. Therefore, how to proactively capture sales trends through intelligent forecasting technology has become a core challenge for enterprises to optimize resource allocation.</w:t>
      </w:r>
    </w:p>
    <w:p w14:paraId="73B3A268" w14:textId="2742DC7E" w:rsidR="00FB10BC" w:rsidRPr="004F4517" w:rsidRDefault="00FB10BC" w:rsidP="00FB10BC">
      <w:pPr>
        <w:pStyle w:val="PostHeadPara"/>
        <w:rPr>
          <w:szCs w:val="18"/>
        </w:rPr>
      </w:pPr>
      <w:r w:rsidRPr="004F4517">
        <w:rPr>
          <w:szCs w:val="18"/>
        </w:rPr>
        <w:t>Traditional forecasting models are usually based on univariate time series analysis or simple multiple regression, which cannot effectively model nonlinear coupling relationships among factors and are not robust enough to deal with market noise data. Long Short-Term Memory Network (LSTM) retains the long-term trend of product life cycle level through cell state mechanism, while Gated Recurrent Unit (GRU) captures the short-term impulse effect of promotional activities efficiently by reset gate and update gate structure</w:t>
      </w:r>
      <w:r w:rsidR="00D52753" w:rsidRPr="00D52753">
        <w:rPr>
          <w:szCs w:val="18"/>
        </w:rPr>
        <w:t xml:space="preserve"> [</w:t>
      </w:r>
      <w:r w:rsidR="00D52753">
        <w:rPr>
          <w:szCs w:val="18"/>
        </w:rPr>
        <w:t>2</w:t>
      </w:r>
      <w:r w:rsidR="00D52753" w:rsidRPr="00D52753">
        <w:rPr>
          <w:szCs w:val="18"/>
        </w:rPr>
        <w:t>]</w:t>
      </w:r>
      <w:r w:rsidRPr="004F4517">
        <w:rPr>
          <w:szCs w:val="18"/>
        </w:rPr>
        <w:t>. Although the two types of models have been applied in independent forecasting dimensions, how to coordinate their advantages to meet the multi-factor collaborative forecasting needs of enterprise business scenarios still needs further research.</w:t>
      </w:r>
    </w:p>
    <w:p w14:paraId="27905D93" w14:textId="4D6A621F" w:rsidR="00FB10BC" w:rsidRPr="004F4517" w:rsidRDefault="00FB10BC" w:rsidP="00FB10BC">
      <w:pPr>
        <w:pStyle w:val="PostHeadPara"/>
        <w:rPr>
          <w:szCs w:val="18"/>
        </w:rPr>
      </w:pPr>
      <w:r w:rsidRPr="004F4517">
        <w:rPr>
          <w:szCs w:val="18"/>
        </w:rPr>
        <w:t>In this paper, we propose a hybrid LSTM-GRU forecasting architecture, which integrates the long-term regularity modeling ability of LSTM and the short-term abrupt response characteristics of GRU. Through analyzing macro-regularity such as seasonal trend at LSTM level and decoding micro-disturbance such as promotion pulse at GRU level, it provides dynamic decision-making basis for inventory optimization and pricing strategy.</w:t>
      </w:r>
    </w:p>
    <w:p w14:paraId="439381B0" w14:textId="6FCB749C" w:rsidR="00245884" w:rsidRPr="004F4517" w:rsidRDefault="00FB10BC">
      <w:pPr>
        <w:pStyle w:val="Head1"/>
        <w:tabs>
          <w:tab w:val="clear" w:pos="360"/>
        </w:tabs>
        <w:ind w:left="432" w:hanging="432"/>
        <w:rPr>
          <w:szCs w:val="18"/>
        </w:rPr>
      </w:pPr>
      <w:r w:rsidRPr="004F4517">
        <w:rPr>
          <w:szCs w:val="18"/>
        </w:rPr>
        <w:lastRenderedPageBreak/>
        <w:t>LSTM model and GRU model</w:t>
      </w:r>
    </w:p>
    <w:p w14:paraId="247CC79E" w14:textId="3F47D7ED" w:rsidR="00FB10BC" w:rsidRPr="004F4517" w:rsidRDefault="00FB10BC" w:rsidP="00FB10BC">
      <w:pPr>
        <w:pStyle w:val="Head2"/>
        <w:rPr>
          <w:szCs w:val="18"/>
        </w:rPr>
      </w:pPr>
      <w:r w:rsidRPr="004F4517">
        <w:rPr>
          <w:szCs w:val="18"/>
        </w:rPr>
        <w:t>LSTM</w:t>
      </w:r>
      <w:r w:rsidRPr="004F4517">
        <w:rPr>
          <w:szCs w:val="18"/>
        </w:rPr>
        <w:t xml:space="preserve"> Model</w:t>
      </w:r>
    </w:p>
    <w:p w14:paraId="2521B57D" w14:textId="55ABEFC9" w:rsidR="00FB10BC" w:rsidRPr="004F4517" w:rsidRDefault="00FB10BC" w:rsidP="00FB10BC">
      <w:pPr>
        <w:pStyle w:val="PostHeadPara"/>
        <w:rPr>
          <w:szCs w:val="18"/>
        </w:rPr>
      </w:pPr>
      <w:r w:rsidRPr="004F4517">
        <w:rPr>
          <w:szCs w:val="18"/>
        </w:rPr>
        <w:t>Long Short-Term Memory Network (LSTM) is an improved recurrent neural network (RNN) architecture designed to solve the gradient vanishing and long-term dependent forgetting problems of traditional RNNs when dealing with long sequence data. As shown in Figure 1, its core innovation lies in the introduction of gating mechanisms and cel</w:t>
      </w:r>
      <w:r w:rsidRPr="004F4517">
        <w:rPr>
          <w:szCs w:val="18"/>
        </w:rPr>
        <w:t>l s</w:t>
      </w:r>
      <w:r w:rsidRPr="004F4517">
        <w:rPr>
          <w:szCs w:val="18"/>
        </w:rPr>
        <w:t>tate structures to achieve stable transmission and renewal of long-term memory through dynamic regulation of information flow.</w:t>
      </w:r>
    </w:p>
    <w:p w14:paraId="193C3249" w14:textId="6E538784" w:rsidR="00FB10BC" w:rsidRPr="004F4517" w:rsidRDefault="00FB10BC" w:rsidP="00FB10BC">
      <w:pPr>
        <w:pStyle w:val="PostHeadPara"/>
        <w:rPr>
          <w:szCs w:val="18"/>
        </w:rPr>
      </w:pPr>
      <w:r w:rsidRPr="004F4517">
        <w:rPr>
          <w:szCs w:val="18"/>
        </w:rPr>
        <w:t>The LSTM consists of a triple gating unit: the forgetting gate calculates the retention ratio of historical information through Sigmoid function and filters redundant data to be discarded; the input gate combines Sigmoid and Tanh functions to generate new candidate values and filter valid features to update the cell state; and the output gate determines the output content of the final hidden state based on the current cell state and input information. Cell state as the core storage carrier retains long-term dependent features through linear operation to avoid information attenuation in gradient propagation process</w:t>
      </w:r>
      <w:r w:rsidR="00D52753" w:rsidRPr="00D52753">
        <w:rPr>
          <w:szCs w:val="18"/>
        </w:rPr>
        <w:t xml:space="preserve"> [</w:t>
      </w:r>
      <w:r w:rsidR="00D52753">
        <w:rPr>
          <w:szCs w:val="18"/>
        </w:rPr>
        <w:t>3</w:t>
      </w:r>
      <w:r w:rsidR="00D52753" w:rsidRPr="00D52753">
        <w:rPr>
          <w:szCs w:val="18"/>
        </w:rPr>
        <w:t>]</w:t>
      </w:r>
      <w:r w:rsidRPr="004F4517">
        <w:rPr>
          <w:szCs w:val="18"/>
        </w:rPr>
        <w:t>.</w:t>
      </w:r>
    </w:p>
    <w:p w14:paraId="4E3C4575" w14:textId="3561E500" w:rsidR="00FB10BC" w:rsidRPr="004F4517" w:rsidRDefault="00FB10BC" w:rsidP="00FB10BC">
      <w:pPr>
        <w:pStyle w:val="PostHeadPara"/>
        <w:rPr>
          <w:szCs w:val="18"/>
        </w:rPr>
      </w:pPr>
      <w:r w:rsidRPr="004F4517">
        <w:rPr>
          <w:szCs w:val="18"/>
        </w:rPr>
        <w:t>This mechanism enables LSTM to adaptively balance the modeling requirements of long-term regularity with short-term fluctuations: cell states maintain macro trends (e.g., seasonal cycles), and gating units capture micro disturbances (e.g., unexpected events). Compared with traditional RNN, LSTM shows stronger long-distance dependency capture ability in time series prediction, natural language processing and other fields, and becomes a core tool for processing complex time series data.</w:t>
      </w:r>
    </w:p>
    <w:p w14:paraId="5F126737" w14:textId="7E109B60" w:rsidR="00FB10BC" w:rsidRPr="004F4517" w:rsidRDefault="00D52753" w:rsidP="00FB10BC">
      <w:pPr>
        <w:pStyle w:val="PostHeadPara"/>
        <w:jc w:val="center"/>
        <w:rPr>
          <w:szCs w:val="18"/>
        </w:rPr>
      </w:pPr>
      <w:r>
        <w:rPr>
          <w:noProof/>
        </w:rPr>
        <w:drawing>
          <wp:inline distT="0" distB="0" distL="0" distR="0" wp14:anchorId="56B39149" wp14:editId="052DDD21">
            <wp:extent cx="4491533" cy="2713378"/>
            <wp:effectExtent l="0" t="0" r="4445" b="0"/>
            <wp:docPr id="5041266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755" cy="2715929"/>
                    </a:xfrm>
                    <a:prstGeom prst="rect">
                      <a:avLst/>
                    </a:prstGeom>
                    <a:noFill/>
                    <a:ln>
                      <a:noFill/>
                    </a:ln>
                  </pic:spPr>
                </pic:pic>
              </a:graphicData>
            </a:graphic>
          </wp:inline>
        </w:drawing>
      </w:r>
    </w:p>
    <w:p w14:paraId="2C638E6C" w14:textId="216E5FC4" w:rsidR="00FB10BC" w:rsidRPr="004F4517" w:rsidRDefault="00FB10BC" w:rsidP="00FB10BC">
      <w:pPr>
        <w:pStyle w:val="PostHeadPara"/>
        <w:jc w:val="center"/>
        <w:rPr>
          <w:szCs w:val="18"/>
        </w:rPr>
      </w:pPr>
      <w:r w:rsidRPr="004F4517">
        <w:rPr>
          <w:szCs w:val="18"/>
        </w:rPr>
        <w:t>Fig</w:t>
      </w:r>
      <w:r w:rsidRPr="004F4517">
        <w:rPr>
          <w:szCs w:val="18"/>
        </w:rPr>
        <w:t xml:space="preserve">ure 1. </w:t>
      </w:r>
      <w:r w:rsidRPr="004F4517">
        <w:rPr>
          <w:szCs w:val="18"/>
        </w:rPr>
        <w:t>LSTM</w:t>
      </w:r>
      <w:r w:rsidRPr="004F4517">
        <w:rPr>
          <w:szCs w:val="18"/>
        </w:rPr>
        <w:t xml:space="preserve"> </w:t>
      </w:r>
      <w:r w:rsidRPr="004F4517">
        <w:rPr>
          <w:szCs w:val="18"/>
        </w:rPr>
        <w:t>Network Structure</w:t>
      </w:r>
    </w:p>
    <w:p w14:paraId="1D7F8B6B" w14:textId="19128812" w:rsidR="00FB10BC" w:rsidRPr="004F4517" w:rsidRDefault="00FB10BC" w:rsidP="00FB10BC">
      <w:pPr>
        <w:pStyle w:val="Head2"/>
      </w:pPr>
      <w:r w:rsidRPr="004F4517">
        <w:t xml:space="preserve">GRU </w:t>
      </w:r>
      <w:r w:rsidRPr="004F4517">
        <w:t>Model</w:t>
      </w:r>
    </w:p>
    <w:p w14:paraId="53B6AE95" w14:textId="77777777" w:rsidR="00FB10BC" w:rsidRPr="004F4517" w:rsidRDefault="00FB10BC" w:rsidP="00FB10BC">
      <w:pPr>
        <w:pStyle w:val="PostHeadPara"/>
        <w:rPr>
          <w:szCs w:val="18"/>
        </w:rPr>
      </w:pPr>
      <w:r w:rsidRPr="004F4517">
        <w:rPr>
          <w:szCs w:val="18"/>
        </w:rPr>
        <w:t xml:space="preserve">Gated recurrent unit (GRU) is an improved recurrent neural network architecture that solves the long-term dependency problem of traditional RNNs by simplifying the gating mechanism. As shown in Figure 2, its core structure consists of two gating units: update gate controls the degree of influence of historical hidden states on the current state and determines how much old information to retain; reset gate filters the contribution of historical </w:t>
      </w:r>
      <w:r w:rsidRPr="004F4517">
        <w:rPr>
          <w:szCs w:val="18"/>
        </w:rPr>
        <w:lastRenderedPageBreak/>
        <w:t>information to the calculation of the current candidate state and adjusts whether to ignore part of the historical context.</w:t>
      </w:r>
    </w:p>
    <w:p w14:paraId="22547E1F" w14:textId="490504FD" w:rsidR="00FB10BC" w:rsidRPr="004F4517" w:rsidRDefault="00FB10BC" w:rsidP="00FB10BC">
      <w:pPr>
        <w:pStyle w:val="PostHeadPara"/>
        <w:rPr>
          <w:szCs w:val="18"/>
        </w:rPr>
      </w:pPr>
      <w:r w:rsidRPr="004F4517">
        <w:rPr>
          <w:szCs w:val="18"/>
        </w:rPr>
        <w:t>The workflow of GRU is divided into three stages: firstly, update gate and reset gate generate gating signals based on current input and previous hidden state respectively; secondly, reset gate filters historical information and current input to generate candidate hidden state through nonlinear transformation; finally, update gate weights and fuses previous hidden state and candidate state to output hidden state at current time step. This state contains both current input characteristics and historical sequence information, which is passed directly to the next time step</w:t>
      </w:r>
      <w:r w:rsidR="00D52753" w:rsidRPr="00D52753">
        <w:rPr>
          <w:szCs w:val="18"/>
        </w:rPr>
        <w:t xml:space="preserve"> [</w:t>
      </w:r>
      <w:r w:rsidR="00D52753">
        <w:rPr>
          <w:szCs w:val="18"/>
        </w:rPr>
        <w:t>4</w:t>
      </w:r>
      <w:r w:rsidR="00D52753" w:rsidRPr="00D52753">
        <w:rPr>
          <w:szCs w:val="18"/>
        </w:rPr>
        <w:t>]</w:t>
      </w:r>
      <w:r w:rsidRPr="004F4517">
        <w:rPr>
          <w:szCs w:val="18"/>
        </w:rPr>
        <w:t>.</w:t>
      </w:r>
    </w:p>
    <w:p w14:paraId="08EFB0E0" w14:textId="1E7725A2" w:rsidR="00FB10BC" w:rsidRPr="004F4517" w:rsidRDefault="00FB10BC" w:rsidP="00FB10BC">
      <w:pPr>
        <w:pStyle w:val="PostHeadPara"/>
        <w:rPr>
          <w:szCs w:val="18"/>
        </w:rPr>
      </w:pPr>
      <w:r w:rsidRPr="004F4517">
        <w:rPr>
          <w:szCs w:val="18"/>
        </w:rPr>
        <w:t>By combining the forgetting gate and input gate of LSTM into a single update gate, and eliminating the separation design of memory unit and hidden state, GRU significantly reduces the number of parameters and improves training efficiency, while maintaining the modeling ability of medium and long sequence dependencies.</w:t>
      </w:r>
    </w:p>
    <w:p w14:paraId="22D379C2" w14:textId="10E6DE63" w:rsidR="00FB10BC" w:rsidRPr="004F4517" w:rsidRDefault="00D52753" w:rsidP="00FB10BC">
      <w:pPr>
        <w:pStyle w:val="PostHeadPara"/>
        <w:jc w:val="center"/>
        <w:rPr>
          <w:szCs w:val="18"/>
        </w:rPr>
      </w:pPr>
      <w:r>
        <w:rPr>
          <w:noProof/>
        </w:rPr>
        <w:drawing>
          <wp:inline distT="0" distB="0" distL="0" distR="0" wp14:anchorId="78B345DC" wp14:editId="5C1AD99D">
            <wp:extent cx="4048100" cy="2496790"/>
            <wp:effectExtent l="0" t="0" r="0" b="0"/>
            <wp:docPr id="1229649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2927" cy="2505935"/>
                    </a:xfrm>
                    <a:prstGeom prst="rect">
                      <a:avLst/>
                    </a:prstGeom>
                    <a:noFill/>
                    <a:ln>
                      <a:noFill/>
                    </a:ln>
                  </pic:spPr>
                </pic:pic>
              </a:graphicData>
            </a:graphic>
          </wp:inline>
        </w:drawing>
      </w:r>
    </w:p>
    <w:p w14:paraId="6C73AEE1" w14:textId="65533283" w:rsidR="00FB10BC" w:rsidRPr="004F4517" w:rsidRDefault="00FB10BC" w:rsidP="00FB10BC">
      <w:pPr>
        <w:pStyle w:val="PostHeadPara"/>
        <w:jc w:val="center"/>
        <w:rPr>
          <w:szCs w:val="18"/>
        </w:rPr>
      </w:pPr>
      <w:r w:rsidRPr="004F4517">
        <w:rPr>
          <w:szCs w:val="18"/>
        </w:rPr>
        <w:t>Figure 2. GRU Network Structure</w:t>
      </w:r>
    </w:p>
    <w:p w14:paraId="15439CDC" w14:textId="1C33007F" w:rsidR="00FB10BC" w:rsidRPr="004F4517" w:rsidRDefault="00FB10BC" w:rsidP="00FB10BC">
      <w:pPr>
        <w:pStyle w:val="Head2"/>
      </w:pPr>
      <w:r w:rsidRPr="004F4517">
        <w:t>Advantages of LSTM-GRU</w:t>
      </w:r>
    </w:p>
    <w:p w14:paraId="43BE0590" w14:textId="0385F747" w:rsidR="00FB10BC" w:rsidRPr="004F4517" w:rsidRDefault="00FB10BC" w:rsidP="00FB10BC">
      <w:pPr>
        <w:pStyle w:val="PostHeadPara"/>
        <w:rPr>
          <w:szCs w:val="18"/>
        </w:rPr>
      </w:pPr>
      <w:r w:rsidRPr="004F4517">
        <w:rPr>
          <w:szCs w:val="18"/>
        </w:rPr>
        <w:t>LSTM-GRU hybrid model shows multidimensional advantages in time series prediction task by combining heterogeneous characteristics of two types of networks. From the structural design point of view, LSTM is good at capturing long-term evolution rules of more than 10-time steps by virtue of the triple gating mechanism of Cell State and forgetting gate, input gate and output gate; GRU reduces the parameter quantity by about 33% by combining update gate and reset gate, and is more sensitive to sudden short-term fluctuation response. The two cascade to form a layered modeling mechanism: the LSTM layer is responsible for extracting macro trend features, and the GRU layer analyzes micro fluctuation details to achieve full-scale coverage of complex time series patterns. At the computational performance level, GRU's simplified structure significantly reduces memory consumption and training time, making the model more suitable for resource-constrained deployment scenarios, while LSTM's gated redundancy provides stronger nonlinear fitting capabilities when data volumes are sufficient</w:t>
      </w:r>
      <w:r w:rsidR="00D52753" w:rsidRPr="00D52753">
        <w:rPr>
          <w:szCs w:val="18"/>
        </w:rPr>
        <w:t xml:space="preserve"> [</w:t>
      </w:r>
      <w:r w:rsidR="00D52753">
        <w:rPr>
          <w:szCs w:val="18"/>
        </w:rPr>
        <w:t>5</w:t>
      </w:r>
      <w:r w:rsidR="00D52753" w:rsidRPr="00D52753">
        <w:rPr>
          <w:szCs w:val="18"/>
        </w:rPr>
        <w:t>]</w:t>
      </w:r>
      <w:r w:rsidRPr="004F4517">
        <w:rPr>
          <w:szCs w:val="18"/>
        </w:rPr>
        <w:t xml:space="preserve">. This collaborative design not only retains the advantages of LSTM for accurate modeling of long-term dependence, but also uses the efficiency of GRU to improve the response speed to dynamic changes, forming a complementary </w:t>
      </w:r>
      <w:proofErr w:type="spellStart"/>
      <w:r w:rsidRPr="004F4517">
        <w:rPr>
          <w:szCs w:val="18"/>
        </w:rPr>
        <w:t>spatio</w:t>
      </w:r>
      <w:proofErr w:type="spellEnd"/>
      <w:r w:rsidRPr="004F4517">
        <w:rPr>
          <w:szCs w:val="18"/>
        </w:rPr>
        <w:t>-temporal feature extraction system.</w:t>
      </w:r>
    </w:p>
    <w:p w14:paraId="79FD251B" w14:textId="3648D3CF" w:rsidR="00CD6400" w:rsidRPr="004F4517" w:rsidRDefault="00FB10BC" w:rsidP="00CD6400">
      <w:pPr>
        <w:pStyle w:val="Head1"/>
        <w:rPr>
          <w:szCs w:val="18"/>
        </w:rPr>
      </w:pPr>
      <w:r w:rsidRPr="004F4517">
        <w:lastRenderedPageBreak/>
        <w:t>Enterprise Sales Forecast Based on LSTM-GRU</w:t>
      </w:r>
      <w:r w:rsidR="00CD6400" w:rsidRPr="004F4517">
        <w:tab/>
      </w:r>
    </w:p>
    <w:p w14:paraId="7F856FE5" w14:textId="5C3E0B18" w:rsidR="00CD6400" w:rsidRPr="004F4517" w:rsidRDefault="00FB10BC" w:rsidP="00CD6400">
      <w:pPr>
        <w:pStyle w:val="Head2"/>
        <w:rPr>
          <w:szCs w:val="18"/>
        </w:rPr>
      </w:pPr>
      <w:bookmarkStart w:id="0" w:name="_Hlk203096194"/>
      <w:r w:rsidRPr="004F4517">
        <w:rPr>
          <w:szCs w:val="18"/>
        </w:rPr>
        <w:t xml:space="preserve">Overall </w:t>
      </w:r>
      <w:r w:rsidRPr="004F4517">
        <w:rPr>
          <w:szCs w:val="18"/>
        </w:rPr>
        <w:t>Process</w:t>
      </w:r>
    </w:p>
    <w:p w14:paraId="7ECFE7A6" w14:textId="231ABE4E" w:rsidR="00FB10BC" w:rsidRPr="004F4517" w:rsidRDefault="00FB10BC" w:rsidP="00FB10BC">
      <w:pPr>
        <w:pStyle w:val="PostHeadPara"/>
        <w:rPr>
          <w:szCs w:val="18"/>
        </w:rPr>
      </w:pPr>
      <w:r w:rsidRPr="004F4517">
        <w:rPr>
          <w:szCs w:val="18"/>
        </w:rPr>
        <w:t>The process starts from the determination of core indicators of enterprise operation, with sales volume, market share, inventory turnover rate and marketing cost as the core monitoring objects, which are selected according to the sensitivity characteristics of enterprise decision-making to market dynamics: sales volume directly affects short-term cash flow, market share reflects long-term competitiveness, inventory turnover rate is related to capital utilization efficiency, and marketing cost determines profit space. In the data preprocessing step, outlier detection technology is used to eliminate data acquisition errors, statistical filtering algorithm is used to identify outliers, and seasonal calibration is carried out according to industry characteristics. In the standardization stage, the multi-source heterogeneous data are normalized, and different dimensional parameters such as sales (historical extreme value interval) and market share (0~100%) are mapped to the interval [−1,1] to eliminate the interference of numerical scale differences on model training. Pearson correlation coefficient is used to screen key characteristic variables, such as the elastic relationship between promotion input and sales, or the squeezing effect of competitive pricing on market share</w:t>
      </w:r>
      <w:r w:rsidR="00D52753" w:rsidRPr="00D52753">
        <w:rPr>
          <w:szCs w:val="18"/>
        </w:rPr>
        <w:t xml:space="preserve"> [</w:t>
      </w:r>
      <w:r w:rsidR="00D52753">
        <w:rPr>
          <w:szCs w:val="18"/>
        </w:rPr>
        <w:t>6</w:t>
      </w:r>
      <w:r w:rsidR="00D52753" w:rsidRPr="00D52753">
        <w:rPr>
          <w:szCs w:val="18"/>
        </w:rPr>
        <w:t>]</w:t>
      </w:r>
      <w:r w:rsidRPr="004F4517">
        <w:rPr>
          <w:szCs w:val="18"/>
        </w:rPr>
        <w:t>.</w:t>
      </w:r>
    </w:p>
    <w:p w14:paraId="08F6C84A" w14:textId="58FDBDB2" w:rsidR="00FB10BC" w:rsidRPr="004F4517" w:rsidRDefault="00FB10BC" w:rsidP="00FB10BC">
      <w:pPr>
        <w:pStyle w:val="PostHeadPara"/>
        <w:rPr>
          <w:szCs w:val="18"/>
        </w:rPr>
      </w:pPr>
      <w:r w:rsidRPr="004F4517">
        <w:rPr>
          <w:szCs w:val="18"/>
        </w:rPr>
        <w:t>After inputting multi-dimensional time series features, nonlinear regression fitting method is used to capture the dynamic coupling relationship between parameters</w:t>
      </w:r>
      <w:r w:rsidR="00D52753" w:rsidRPr="00D52753">
        <w:rPr>
          <w:szCs w:val="18"/>
        </w:rPr>
        <w:t xml:space="preserve"> [</w:t>
      </w:r>
      <w:r w:rsidR="00D52753">
        <w:rPr>
          <w:szCs w:val="18"/>
        </w:rPr>
        <w:t>7</w:t>
      </w:r>
      <w:r w:rsidR="00D52753" w:rsidRPr="00D52753">
        <w:rPr>
          <w:szCs w:val="18"/>
        </w:rPr>
        <w:t>]</w:t>
      </w:r>
      <w:r w:rsidRPr="004F4517">
        <w:rPr>
          <w:szCs w:val="18"/>
        </w:rPr>
        <w:t>. LSTM-GRU hybrid model plays a central role in this stage: LSTM layer captures seasonal trends, product life cycle and other long-term cycle laws through cell state and gating mechanism; GRU layer uses update gate and reset gate to resolve short-term promotion pulses, competitive product strategy mutations and other transient disturbances. This hierarchical modeling mechanism allows the model to cover both macro trends and micro fluctuations, significantly improving prediction robustness.</w:t>
      </w:r>
    </w:p>
    <w:p w14:paraId="6FEC241D" w14:textId="7E6E7CFF" w:rsidR="00FB10BC" w:rsidRPr="004F4517" w:rsidRDefault="00FB10BC" w:rsidP="00FB10BC">
      <w:pPr>
        <w:pStyle w:val="PostHeadPara"/>
        <w:rPr>
          <w:szCs w:val="18"/>
        </w:rPr>
      </w:pPr>
      <w:r w:rsidRPr="004F4517">
        <w:rPr>
          <w:szCs w:val="18"/>
        </w:rPr>
        <w:t>Finally, the prediction model can output the sales trend and confidence interval in the next 30 days, and realize the closed-loop management from data prediction to decision optimization by dynamically adjusting inventory strategy, pricing model and marketing resource allocation, providing quantitative basis for enterprise resource collaborative allocation.</w:t>
      </w:r>
    </w:p>
    <w:bookmarkEnd w:id="0"/>
    <w:p w14:paraId="47D8F757" w14:textId="68ECA838" w:rsidR="00AE7FB8" w:rsidRPr="004F4517" w:rsidRDefault="00FB10BC" w:rsidP="00753AF1">
      <w:pPr>
        <w:pStyle w:val="Head2"/>
        <w:rPr>
          <w:szCs w:val="18"/>
        </w:rPr>
      </w:pPr>
      <w:r w:rsidRPr="004F4517">
        <w:rPr>
          <w:szCs w:val="18"/>
        </w:rPr>
        <w:t xml:space="preserve">Model </w:t>
      </w:r>
      <w:r w:rsidRPr="004F4517">
        <w:rPr>
          <w:szCs w:val="18"/>
        </w:rPr>
        <w:t>Construction</w:t>
      </w:r>
    </w:p>
    <w:p w14:paraId="5C2E5E66" w14:textId="2B7075F6" w:rsidR="00FB10BC" w:rsidRPr="004F4517" w:rsidRDefault="00FB10BC" w:rsidP="00AE7FB8">
      <w:pPr>
        <w:pStyle w:val="PostHeadPara"/>
        <w:rPr>
          <w:szCs w:val="18"/>
        </w:rPr>
      </w:pPr>
      <w:r w:rsidRPr="004F4517">
        <w:rPr>
          <w:szCs w:val="18"/>
        </w:rPr>
        <w:t>The structure of LSTM-GRU hybrid forecasting model proposed in this paper is shown in Figure 3. Its core architecture consists of input layer, double-layer LSTM, single-layer GRU, all-connected layer and output layer, and realizes dynamic fusion of enterprise business time series characteristics through hierarchical gating mechanism.</w:t>
      </w:r>
    </w:p>
    <w:p w14:paraId="600A81CF" w14:textId="1BCE9095" w:rsidR="00FB10BC" w:rsidRPr="004F4517" w:rsidRDefault="00D52753" w:rsidP="00FB10BC">
      <w:pPr>
        <w:pStyle w:val="PostHeadPara"/>
        <w:jc w:val="center"/>
        <w:rPr>
          <w:szCs w:val="18"/>
        </w:rPr>
      </w:pPr>
      <w:r>
        <w:rPr>
          <w:noProof/>
        </w:rPr>
        <w:lastRenderedPageBreak/>
        <w:drawing>
          <wp:inline distT="0" distB="0" distL="0" distR="0" wp14:anchorId="46E816CD" wp14:editId="2C3123EE">
            <wp:extent cx="5562600" cy="2275205"/>
            <wp:effectExtent l="0" t="0" r="0" b="0"/>
            <wp:docPr id="17904609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2275205"/>
                    </a:xfrm>
                    <a:prstGeom prst="rect">
                      <a:avLst/>
                    </a:prstGeom>
                    <a:noFill/>
                    <a:ln>
                      <a:noFill/>
                    </a:ln>
                  </pic:spPr>
                </pic:pic>
              </a:graphicData>
            </a:graphic>
          </wp:inline>
        </w:drawing>
      </w:r>
    </w:p>
    <w:p w14:paraId="68467E44" w14:textId="28C4B2C8" w:rsidR="00FB10BC" w:rsidRPr="004F4517" w:rsidRDefault="00FB10BC" w:rsidP="00FB10BC">
      <w:pPr>
        <w:pStyle w:val="PostHeadPara"/>
        <w:jc w:val="center"/>
        <w:rPr>
          <w:szCs w:val="18"/>
        </w:rPr>
      </w:pPr>
      <w:r w:rsidRPr="004F4517">
        <w:rPr>
          <w:szCs w:val="18"/>
        </w:rPr>
        <w:t>Figure 3. LSTM-GRU Network Structure Diagram</w:t>
      </w:r>
    </w:p>
    <w:p w14:paraId="34B54096" w14:textId="4B227248" w:rsidR="00FB10BC" w:rsidRPr="004F4517" w:rsidRDefault="00FB10BC" w:rsidP="00FB10BC">
      <w:pPr>
        <w:pStyle w:val="PostHeadPara"/>
        <w:rPr>
          <w:szCs w:val="18"/>
        </w:rPr>
      </w:pPr>
      <w:r w:rsidRPr="004F4517">
        <w:rPr>
          <w:szCs w:val="18"/>
        </w:rPr>
        <w:t xml:space="preserve">The input data is a four-dimensional time series matrix containing sales, market share, inventory turnover, and marketing costs, where </w:t>
      </w:r>
      <w:proofErr w:type="spellStart"/>
      <w:r w:rsidRPr="004F4517">
        <w:rPr>
          <w:szCs w:val="18"/>
        </w:rPr>
        <w:t>i</w:t>
      </w:r>
      <w:proofErr w:type="spellEnd"/>
      <w:r w:rsidRPr="004F4517">
        <w:rPr>
          <w:szCs w:val="18"/>
        </w:rPr>
        <w:t xml:space="preserve"> represents the time step (e.g., daily sampling) and j corresponds to the operating units of different product lines or regional markets. Each row in the matrix describes the multidimensional business state at the same time, and each column records the trajectory of the same index over time</w:t>
      </w:r>
      <w:r w:rsidR="00D52753" w:rsidRPr="00D52753">
        <w:rPr>
          <w:szCs w:val="18"/>
        </w:rPr>
        <w:t xml:space="preserve"> [</w:t>
      </w:r>
      <w:r w:rsidR="00D52753">
        <w:rPr>
          <w:szCs w:val="18"/>
        </w:rPr>
        <w:t>8</w:t>
      </w:r>
      <w:r w:rsidR="00D52753" w:rsidRPr="00D52753">
        <w:rPr>
          <w:szCs w:val="18"/>
        </w:rPr>
        <w:t>]</w:t>
      </w:r>
      <w:r w:rsidRPr="004F4517">
        <w:rPr>
          <w:szCs w:val="18"/>
        </w:rPr>
        <w:t>.</w:t>
      </w:r>
    </w:p>
    <w:p w14:paraId="287B7C6E" w14:textId="77777777" w:rsidR="00FB10BC" w:rsidRPr="004F4517" w:rsidRDefault="00FB10BC" w:rsidP="00FB10BC">
      <w:pPr>
        <w:pStyle w:val="PostHeadPara"/>
        <w:rPr>
          <w:szCs w:val="18"/>
        </w:rPr>
      </w:pPr>
      <w:r w:rsidRPr="004F4517">
        <w:rPr>
          <w:szCs w:val="18"/>
        </w:rPr>
        <w:t>The original data is input into the first layer LSTM first, and historical key information is filtered through the forgetting gate and the input gate. The second layer LSTM extracts cross-index coupling features and transmits long-period rules by using cell state. Based on the higher-order characteristics of the LSTM output, the GRU resolves short-term business fluctuations through reset gates and update gates: reset gates weaken abrupt disturbances, and update gates strengthen trend signals. Dropout operation (drop rate 0.2) is added after each layer of gating network to improve the robustness of the model to data noise and market anomalies.</w:t>
      </w:r>
    </w:p>
    <w:p w14:paraId="4B8BE876" w14:textId="3A1D66B4" w:rsidR="00FB10BC" w:rsidRPr="004F4517" w:rsidRDefault="00FB10BC" w:rsidP="00FB10BC">
      <w:pPr>
        <w:pStyle w:val="PostHeadPara"/>
        <w:rPr>
          <w:szCs w:val="18"/>
        </w:rPr>
      </w:pPr>
      <w:r w:rsidRPr="004F4517">
        <w:rPr>
          <w:szCs w:val="18"/>
        </w:rPr>
        <w:t>The feature vectors processed by GRU are input into the fully connected layer, and the implicit states are generated by nonlinear weighted fusion. Linear activation function is used in output layer to predict the numerical sequence and confidence interval of four core management indexes in the next 30 days synchronously, which provides quantitative basis for dynamic adjustment of inventory strategy and resource allocation</w:t>
      </w:r>
      <w:r w:rsidR="00D52753" w:rsidRPr="00D52753">
        <w:rPr>
          <w:szCs w:val="18"/>
        </w:rPr>
        <w:t xml:space="preserve"> [</w:t>
      </w:r>
      <w:r w:rsidR="00D52753">
        <w:rPr>
          <w:szCs w:val="18"/>
        </w:rPr>
        <w:t>9</w:t>
      </w:r>
      <w:r w:rsidR="00D52753" w:rsidRPr="00D52753">
        <w:rPr>
          <w:szCs w:val="18"/>
        </w:rPr>
        <w:t>]</w:t>
      </w:r>
      <w:r w:rsidRPr="004F4517">
        <w:rPr>
          <w:szCs w:val="18"/>
        </w:rPr>
        <w:t>.</w:t>
      </w:r>
    </w:p>
    <w:p w14:paraId="0536F3C9" w14:textId="0B632D45" w:rsidR="00753AF1" w:rsidRPr="004F4517" w:rsidRDefault="00FB10BC" w:rsidP="00753AF1">
      <w:pPr>
        <w:pStyle w:val="Head2"/>
        <w:rPr>
          <w:szCs w:val="18"/>
        </w:rPr>
      </w:pPr>
      <w:r w:rsidRPr="004F4517">
        <w:rPr>
          <w:szCs w:val="18"/>
        </w:rPr>
        <w:t xml:space="preserve">Parameter </w:t>
      </w:r>
      <w:r w:rsidRPr="004F4517">
        <w:rPr>
          <w:szCs w:val="18"/>
        </w:rPr>
        <w:t>Setting</w:t>
      </w:r>
    </w:p>
    <w:p w14:paraId="5E30C7FC" w14:textId="47867D7F" w:rsidR="00FB10BC" w:rsidRPr="004F4517" w:rsidRDefault="00FB10BC" w:rsidP="00FB10BC">
      <w:pPr>
        <w:pStyle w:val="PostHeadPara"/>
        <w:rPr>
          <w:szCs w:val="18"/>
        </w:rPr>
      </w:pPr>
      <w:r w:rsidRPr="004F4517">
        <w:rPr>
          <w:szCs w:val="18"/>
        </w:rPr>
        <w:t>The parameters of this model are designed based on the time-series characteristics and multi-index coupling law of enterprise management data, and the dynamic sales forecast is realized by hierarchical feature extraction. The input data is a 30-day time series of sales, market share, inventory turnover and marketing cost indicators, and the time step is set to 30 to match the monthly business analysis cycle. The first-level LSTM network receives an input matrix with dimensions of 30×4, filters invalid historical strategies through forgetting gates, captures emerging market signals through input gates, and maps 30-step time-series data into 32-dimensional hidden state vectors</w:t>
      </w:r>
      <w:r w:rsidR="00D52753" w:rsidRPr="00D52753">
        <w:rPr>
          <w:szCs w:val="18"/>
        </w:rPr>
        <w:t xml:space="preserve"> [1</w:t>
      </w:r>
      <w:r w:rsidR="00D52753">
        <w:rPr>
          <w:szCs w:val="18"/>
        </w:rPr>
        <w:t>0</w:t>
      </w:r>
      <w:r w:rsidR="00D52753" w:rsidRPr="00D52753">
        <w:rPr>
          <w:szCs w:val="18"/>
        </w:rPr>
        <w:t>]</w:t>
      </w:r>
      <w:r w:rsidRPr="004F4517">
        <w:rPr>
          <w:szCs w:val="18"/>
        </w:rPr>
        <w:t>. The second layer LSTM analyzes the interaction mechanism between indicators on the basis of retaining 32-dimensional vectors: modeling the marginal benefit attenuation of market share expansion to marketing costs, capturing the lag relationship between inventory turnover and sales. This layer is followed by a Dropout operation (probability 0.3) that reduces the sensitivity of the model to data collection anomalies such as temporary statistical misses.</w:t>
      </w:r>
    </w:p>
    <w:p w14:paraId="7C8D3A7C" w14:textId="10750490" w:rsidR="00FB10BC" w:rsidRPr="004F4517" w:rsidRDefault="00FB10BC" w:rsidP="00FB10BC">
      <w:pPr>
        <w:pStyle w:val="PostHeadPara"/>
        <w:rPr>
          <w:szCs w:val="18"/>
        </w:rPr>
      </w:pPr>
      <w:r w:rsidRPr="004F4517">
        <w:rPr>
          <w:szCs w:val="18"/>
        </w:rPr>
        <w:lastRenderedPageBreak/>
        <w:t xml:space="preserve">The GRU layer reconstructs the characteristics of the LSTM output: reset gates weaken sudden disturbances (such as temporary supply chain disruptions) and update gates strengthen trend effects (such as persistent competitive strategy changes). This layer extends the vector dimension to 60 dimensions to capture cross-cycle patterns (e.g., seasonal spending peaks associated with time lags in promotional resource delivery). Finally, 16 neurons are used to compress 60-dimensional features into multidimensional output space (including four core index predictors). </w:t>
      </w:r>
      <w:proofErr w:type="spellStart"/>
      <w:r w:rsidRPr="004F4517">
        <w:rPr>
          <w:szCs w:val="18"/>
        </w:rPr>
        <w:t>ReLU</w:t>
      </w:r>
      <w:proofErr w:type="spellEnd"/>
      <w:r w:rsidRPr="004F4517">
        <w:rPr>
          <w:szCs w:val="18"/>
        </w:rPr>
        <w:t xml:space="preserve"> is selected as activation function to adapt to the non-negative characteristics of business data. The learning rate was set to 0.015 to balance gradient stability with convergence efficiency. The number of neurons in all gating networks is fixed to 12, which ensures that computational efficiency and fine expression of business logic are considered when modeling the co-evolution of price elasticity and inventory constraints. Off-line verification shows that the response delay of this configuration to market mutation is controlled within 24 hours, which meets the timeliness requirements of enterprise Business Decisions.</w:t>
      </w:r>
    </w:p>
    <w:p w14:paraId="0FB5F00C" w14:textId="14EB06F4" w:rsidR="00ED6BD0" w:rsidRPr="004F4517" w:rsidRDefault="00753AF1" w:rsidP="00ED6BD0">
      <w:pPr>
        <w:pStyle w:val="Head1"/>
      </w:pPr>
      <w:r w:rsidRPr="004F4517">
        <w:t>Empirical Analysis</w:t>
      </w:r>
    </w:p>
    <w:p w14:paraId="0EA46710" w14:textId="1F5208B4" w:rsidR="00561F59" w:rsidRPr="004F4517" w:rsidRDefault="00753AF1" w:rsidP="00753AF1">
      <w:pPr>
        <w:pStyle w:val="Head2"/>
        <w:rPr>
          <w:szCs w:val="18"/>
        </w:rPr>
      </w:pPr>
      <w:r w:rsidRPr="004F4517">
        <w:rPr>
          <w:szCs w:val="18"/>
        </w:rPr>
        <w:t>Experimental Design</w:t>
      </w:r>
    </w:p>
    <w:p w14:paraId="1B4B234E" w14:textId="3708447D" w:rsidR="00C871E6" w:rsidRPr="004F4517" w:rsidRDefault="00C871E6" w:rsidP="00561F59">
      <w:pPr>
        <w:pStyle w:val="PostHeadPara"/>
        <w:rPr>
          <w:szCs w:val="18"/>
        </w:rPr>
      </w:pPr>
      <w:r w:rsidRPr="004F4517">
        <w:rPr>
          <w:szCs w:val="18"/>
        </w:rPr>
        <w:t>In order to verify the validity of LSTM-GRU hybrid model in enterprise sales forecasting, this experiment constructs multi-index time series data set based on real business data of a retail enterprise, and compares it with standard LSTM and GRU models. The experimental environment adopts an enterprise-level data analysis platform, and the experimental environment configuration is shown in Table 1. The hardware configuration takes into account the requirements of large-scale time series operation.</w:t>
      </w:r>
    </w:p>
    <w:p w14:paraId="187DAD7C" w14:textId="16D434E6" w:rsidR="00C871E6" w:rsidRPr="004F4517" w:rsidRDefault="00C871E6" w:rsidP="00C871E6">
      <w:pPr>
        <w:pStyle w:val="PostHeadPara"/>
        <w:jc w:val="center"/>
        <w:rPr>
          <w:szCs w:val="18"/>
        </w:rPr>
      </w:pPr>
      <w:r w:rsidRPr="004F4517">
        <w:rPr>
          <w:szCs w:val="18"/>
        </w:rPr>
        <w:t xml:space="preserve">Table 1. </w:t>
      </w:r>
      <w:r w:rsidRPr="004F4517">
        <w:rPr>
          <w:szCs w:val="18"/>
        </w:rPr>
        <w:t>Experimental environment configuration</w:t>
      </w:r>
    </w:p>
    <w:tbl>
      <w:tblPr>
        <w:tblStyle w:val="210"/>
        <w:tblW w:w="7458" w:type="dxa"/>
        <w:jc w:val="center"/>
        <w:tblLook w:val="04A0" w:firstRow="1" w:lastRow="0" w:firstColumn="1" w:lastColumn="0" w:noHBand="0" w:noVBand="1"/>
      </w:tblPr>
      <w:tblGrid>
        <w:gridCol w:w="2464"/>
        <w:gridCol w:w="4994"/>
      </w:tblGrid>
      <w:tr w:rsidR="004F4517" w:rsidRPr="00C871E6" w14:paraId="40138890" w14:textId="77777777" w:rsidTr="00C871E6">
        <w:trPr>
          <w:cnfStyle w:val="100000000000" w:firstRow="1" w:lastRow="0" w:firstColumn="0" w:lastColumn="0" w:oddVBand="0" w:evenVBand="0" w:oddHBand="0"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464" w:type="dxa"/>
            <w:vAlign w:val="center"/>
            <w:hideMark/>
          </w:tcPr>
          <w:p w14:paraId="04FFD50A" w14:textId="77777777" w:rsidR="00C871E6" w:rsidRPr="00C871E6" w:rsidRDefault="00C871E6" w:rsidP="00C871E6">
            <w:pPr>
              <w:pStyle w:val="PostHeadPara"/>
              <w:spacing w:line="240" w:lineRule="auto"/>
              <w:jc w:val="center"/>
              <w:rPr>
                <w:sz w:val="16"/>
                <w:szCs w:val="16"/>
              </w:rPr>
            </w:pPr>
            <w:r w:rsidRPr="00C871E6">
              <w:rPr>
                <w:sz w:val="16"/>
                <w:szCs w:val="16"/>
              </w:rPr>
              <w:t>Category</w:t>
            </w:r>
          </w:p>
        </w:tc>
        <w:tc>
          <w:tcPr>
            <w:tcW w:w="4994" w:type="dxa"/>
            <w:vAlign w:val="center"/>
            <w:hideMark/>
          </w:tcPr>
          <w:p w14:paraId="659C8126" w14:textId="77777777" w:rsidR="00C871E6" w:rsidRPr="00C871E6" w:rsidRDefault="00C871E6" w:rsidP="00C871E6">
            <w:pPr>
              <w:pStyle w:val="PostHeadPara"/>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C871E6">
              <w:rPr>
                <w:sz w:val="16"/>
                <w:szCs w:val="16"/>
              </w:rPr>
              <w:t>Configuration/Model</w:t>
            </w:r>
          </w:p>
        </w:tc>
      </w:tr>
      <w:tr w:rsidR="004F4517" w:rsidRPr="00C871E6" w14:paraId="394BA534" w14:textId="77777777" w:rsidTr="00C871E6">
        <w:trPr>
          <w:trHeight w:val="320"/>
          <w:jc w:val="center"/>
        </w:trPr>
        <w:tc>
          <w:tcPr>
            <w:cnfStyle w:val="001000000000" w:firstRow="0" w:lastRow="0" w:firstColumn="1" w:lastColumn="0" w:oddVBand="0" w:evenVBand="0" w:oddHBand="0" w:evenHBand="0" w:firstRowFirstColumn="0" w:firstRowLastColumn="0" w:lastRowFirstColumn="0" w:lastRowLastColumn="0"/>
            <w:tcW w:w="2464" w:type="dxa"/>
            <w:vAlign w:val="center"/>
            <w:hideMark/>
          </w:tcPr>
          <w:p w14:paraId="486ADC85" w14:textId="77777777" w:rsidR="00C871E6" w:rsidRPr="00C871E6" w:rsidRDefault="00C871E6" w:rsidP="00C871E6">
            <w:pPr>
              <w:pStyle w:val="PostHeadPara"/>
              <w:spacing w:line="240" w:lineRule="auto"/>
              <w:jc w:val="center"/>
              <w:rPr>
                <w:b w:val="0"/>
                <w:bCs w:val="0"/>
                <w:sz w:val="16"/>
                <w:szCs w:val="16"/>
              </w:rPr>
            </w:pPr>
            <w:r w:rsidRPr="00C871E6">
              <w:rPr>
                <w:b w:val="0"/>
                <w:bCs w:val="0"/>
                <w:sz w:val="16"/>
                <w:szCs w:val="16"/>
              </w:rPr>
              <w:t>Processor</w:t>
            </w:r>
          </w:p>
        </w:tc>
        <w:tc>
          <w:tcPr>
            <w:tcW w:w="4994" w:type="dxa"/>
            <w:vAlign w:val="center"/>
            <w:hideMark/>
          </w:tcPr>
          <w:p w14:paraId="469ABCD9" w14:textId="77777777" w:rsidR="00C871E6" w:rsidRPr="00C871E6" w:rsidRDefault="00C871E6" w:rsidP="00C871E6">
            <w:pPr>
              <w:pStyle w:val="PostHeadPara"/>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871E6">
              <w:rPr>
                <w:sz w:val="16"/>
                <w:szCs w:val="16"/>
              </w:rPr>
              <w:t>Intel Xeon Gold 6348</w:t>
            </w:r>
          </w:p>
        </w:tc>
      </w:tr>
      <w:tr w:rsidR="004F4517" w:rsidRPr="00C871E6" w14:paraId="5CFF1228" w14:textId="77777777" w:rsidTr="00C871E6">
        <w:trPr>
          <w:trHeight w:val="320"/>
          <w:jc w:val="center"/>
        </w:trPr>
        <w:tc>
          <w:tcPr>
            <w:cnfStyle w:val="001000000000" w:firstRow="0" w:lastRow="0" w:firstColumn="1" w:lastColumn="0" w:oddVBand="0" w:evenVBand="0" w:oddHBand="0" w:evenHBand="0" w:firstRowFirstColumn="0" w:firstRowLastColumn="0" w:lastRowFirstColumn="0" w:lastRowLastColumn="0"/>
            <w:tcW w:w="2464" w:type="dxa"/>
            <w:vAlign w:val="center"/>
            <w:hideMark/>
          </w:tcPr>
          <w:p w14:paraId="260D8399" w14:textId="77777777" w:rsidR="00C871E6" w:rsidRPr="00C871E6" w:rsidRDefault="00C871E6" w:rsidP="00C871E6">
            <w:pPr>
              <w:pStyle w:val="PostHeadPara"/>
              <w:spacing w:line="240" w:lineRule="auto"/>
              <w:jc w:val="center"/>
              <w:rPr>
                <w:b w:val="0"/>
                <w:bCs w:val="0"/>
                <w:sz w:val="16"/>
                <w:szCs w:val="16"/>
              </w:rPr>
            </w:pPr>
            <w:r w:rsidRPr="00C871E6">
              <w:rPr>
                <w:b w:val="0"/>
                <w:bCs w:val="0"/>
                <w:sz w:val="16"/>
                <w:szCs w:val="16"/>
              </w:rPr>
              <w:t>Memory</w:t>
            </w:r>
          </w:p>
        </w:tc>
        <w:tc>
          <w:tcPr>
            <w:tcW w:w="4994" w:type="dxa"/>
            <w:vAlign w:val="center"/>
            <w:hideMark/>
          </w:tcPr>
          <w:p w14:paraId="6F7E57E6" w14:textId="77777777" w:rsidR="00C871E6" w:rsidRPr="00C871E6" w:rsidRDefault="00C871E6" w:rsidP="00C871E6">
            <w:pPr>
              <w:pStyle w:val="PostHeadPara"/>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871E6">
              <w:rPr>
                <w:sz w:val="16"/>
                <w:szCs w:val="16"/>
              </w:rPr>
              <w:t>256GB DDR4 3200MHz</w:t>
            </w:r>
          </w:p>
        </w:tc>
      </w:tr>
      <w:tr w:rsidR="004F4517" w:rsidRPr="00C871E6" w14:paraId="4F9A11A8" w14:textId="77777777" w:rsidTr="00C871E6">
        <w:trPr>
          <w:trHeight w:val="427"/>
          <w:jc w:val="center"/>
        </w:trPr>
        <w:tc>
          <w:tcPr>
            <w:cnfStyle w:val="001000000000" w:firstRow="0" w:lastRow="0" w:firstColumn="1" w:lastColumn="0" w:oddVBand="0" w:evenVBand="0" w:oddHBand="0" w:evenHBand="0" w:firstRowFirstColumn="0" w:firstRowLastColumn="0" w:lastRowFirstColumn="0" w:lastRowLastColumn="0"/>
            <w:tcW w:w="2464" w:type="dxa"/>
            <w:vAlign w:val="center"/>
            <w:hideMark/>
          </w:tcPr>
          <w:p w14:paraId="40686F42" w14:textId="77777777" w:rsidR="00C871E6" w:rsidRPr="00C871E6" w:rsidRDefault="00C871E6" w:rsidP="00C871E6">
            <w:pPr>
              <w:pStyle w:val="PostHeadPara"/>
              <w:spacing w:line="240" w:lineRule="auto"/>
              <w:jc w:val="center"/>
              <w:rPr>
                <w:b w:val="0"/>
                <w:bCs w:val="0"/>
                <w:sz w:val="16"/>
                <w:szCs w:val="16"/>
              </w:rPr>
            </w:pPr>
            <w:r w:rsidRPr="00C871E6">
              <w:rPr>
                <w:b w:val="0"/>
                <w:bCs w:val="0"/>
                <w:sz w:val="16"/>
                <w:szCs w:val="16"/>
              </w:rPr>
              <w:t>Storage System</w:t>
            </w:r>
          </w:p>
        </w:tc>
        <w:tc>
          <w:tcPr>
            <w:tcW w:w="4994" w:type="dxa"/>
            <w:vAlign w:val="center"/>
            <w:hideMark/>
          </w:tcPr>
          <w:p w14:paraId="018111F2" w14:textId="77777777" w:rsidR="00C871E6" w:rsidRPr="00C871E6" w:rsidRDefault="00C871E6" w:rsidP="00C871E6">
            <w:pPr>
              <w:pStyle w:val="PostHeadPara"/>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C871E6">
              <w:rPr>
                <w:sz w:val="16"/>
                <w:szCs w:val="16"/>
              </w:rPr>
              <w:t xml:space="preserve">16TB </w:t>
            </w:r>
            <w:proofErr w:type="spellStart"/>
            <w:r w:rsidRPr="00C871E6">
              <w:rPr>
                <w:sz w:val="16"/>
                <w:szCs w:val="16"/>
              </w:rPr>
              <w:t>NVMe</w:t>
            </w:r>
            <w:proofErr w:type="spellEnd"/>
            <w:r w:rsidRPr="00C871E6">
              <w:rPr>
                <w:sz w:val="16"/>
                <w:szCs w:val="16"/>
              </w:rPr>
              <w:t xml:space="preserve"> SSD Array</w:t>
            </w:r>
          </w:p>
        </w:tc>
      </w:tr>
      <w:tr w:rsidR="004F4517" w:rsidRPr="00C871E6" w14:paraId="483B8B13" w14:textId="77777777" w:rsidTr="00C871E6">
        <w:trPr>
          <w:trHeight w:val="213"/>
          <w:jc w:val="center"/>
        </w:trPr>
        <w:tc>
          <w:tcPr>
            <w:cnfStyle w:val="001000000000" w:firstRow="0" w:lastRow="0" w:firstColumn="1" w:lastColumn="0" w:oddVBand="0" w:evenVBand="0" w:oddHBand="0" w:evenHBand="0" w:firstRowFirstColumn="0" w:firstRowLastColumn="0" w:lastRowFirstColumn="0" w:lastRowLastColumn="0"/>
            <w:tcW w:w="2464" w:type="dxa"/>
            <w:vAlign w:val="center"/>
            <w:hideMark/>
          </w:tcPr>
          <w:p w14:paraId="64A44255" w14:textId="77777777" w:rsidR="00C871E6" w:rsidRPr="00C871E6" w:rsidRDefault="00C871E6" w:rsidP="00C871E6">
            <w:pPr>
              <w:pStyle w:val="PostHeadPara"/>
              <w:spacing w:line="240" w:lineRule="auto"/>
              <w:jc w:val="center"/>
              <w:rPr>
                <w:b w:val="0"/>
                <w:bCs w:val="0"/>
                <w:sz w:val="16"/>
                <w:szCs w:val="16"/>
              </w:rPr>
            </w:pPr>
            <w:r w:rsidRPr="00C871E6">
              <w:rPr>
                <w:b w:val="0"/>
                <w:bCs w:val="0"/>
                <w:sz w:val="16"/>
                <w:szCs w:val="16"/>
              </w:rPr>
              <w:t>Deep Learning Framework</w:t>
            </w:r>
          </w:p>
        </w:tc>
        <w:tc>
          <w:tcPr>
            <w:tcW w:w="4994" w:type="dxa"/>
            <w:vAlign w:val="center"/>
            <w:hideMark/>
          </w:tcPr>
          <w:p w14:paraId="0C919631" w14:textId="77777777" w:rsidR="00C871E6" w:rsidRPr="00C871E6" w:rsidRDefault="00C871E6" w:rsidP="00C871E6">
            <w:pPr>
              <w:pStyle w:val="PostHeadPara"/>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C871E6">
              <w:rPr>
                <w:sz w:val="16"/>
                <w:szCs w:val="16"/>
              </w:rPr>
              <w:t>PyTorch</w:t>
            </w:r>
            <w:proofErr w:type="spellEnd"/>
            <w:r w:rsidRPr="00C871E6">
              <w:rPr>
                <w:sz w:val="16"/>
                <w:szCs w:val="16"/>
              </w:rPr>
              <w:t xml:space="preserve"> 2.1 + CUDA 12.1</w:t>
            </w:r>
          </w:p>
        </w:tc>
      </w:tr>
    </w:tbl>
    <w:p w14:paraId="482E4854" w14:textId="77777777" w:rsidR="00C871E6" w:rsidRPr="004F4517" w:rsidRDefault="00C871E6" w:rsidP="00C871E6">
      <w:pPr>
        <w:pStyle w:val="PostHeadPara"/>
        <w:rPr>
          <w:rFonts w:eastAsiaTheme="minorEastAsia"/>
          <w:szCs w:val="18"/>
          <w:lang w:eastAsia="zh-CN"/>
        </w:rPr>
      </w:pPr>
    </w:p>
    <w:p w14:paraId="03D9B64C" w14:textId="1B2DD417" w:rsidR="00C871E6" w:rsidRPr="004F4517" w:rsidRDefault="00C871E6" w:rsidP="00C871E6">
      <w:pPr>
        <w:pStyle w:val="PostHeadPara"/>
        <w:rPr>
          <w:rFonts w:eastAsiaTheme="minorEastAsia"/>
          <w:szCs w:val="18"/>
          <w:lang w:eastAsia="zh-CN"/>
        </w:rPr>
      </w:pPr>
      <w:r w:rsidRPr="004F4517">
        <w:rPr>
          <w:rFonts w:eastAsiaTheme="minorEastAsia"/>
          <w:szCs w:val="18"/>
          <w:lang w:eastAsia="zh-CN"/>
        </w:rPr>
        <w:t>The experimental data comes from the quarterly operation report of 32 regional markets of an enterprise from 2020 to 2023, including sales volume (0~ 200 million yuan), market share (0~35%), inventory turnover rate (0~8 times/quarter) and marketing cost (0~ 50 million yuan). The data preprocessing adopts sliding window method to generate sample set, the window length is set to 90 steps (3-year historical data), and the prediction target is the index value in the next 30 days.</w:t>
      </w:r>
    </w:p>
    <w:p w14:paraId="304C0696" w14:textId="352B7A1E" w:rsidR="00C871E6" w:rsidRPr="004F4517" w:rsidRDefault="00C871E6" w:rsidP="00C871E6">
      <w:pPr>
        <w:pStyle w:val="PostHeadPara"/>
        <w:rPr>
          <w:rFonts w:eastAsiaTheme="minorEastAsia"/>
          <w:szCs w:val="18"/>
          <w:lang w:eastAsia="zh-CN"/>
        </w:rPr>
      </w:pPr>
      <w:r w:rsidRPr="004F4517">
        <w:rPr>
          <w:rFonts w:eastAsiaTheme="minorEastAsia"/>
          <w:szCs w:val="18"/>
          <w:lang w:eastAsia="zh-CN"/>
        </w:rPr>
        <w:t xml:space="preserve">In comparison model, LSTM benchmark model is double hidden layer structure (32 neurons per layer), GRU benchmark model is single hidden layer structure (64 neurons), input dimension is 90×4. Model performance was evaluated in terms of mean absolute error (MAE), symmetric mean absolute percentage error (MAPE), and training time. Adam optimizer (learning rate 0.015), batch size 128, early stop mechanism (20 rounds without improvement) </w:t>
      </w:r>
      <w:r w:rsidRPr="004F4517">
        <w:rPr>
          <w:rFonts w:eastAsiaTheme="minorEastAsia"/>
          <w:szCs w:val="18"/>
          <w:lang w:eastAsia="zh-CN"/>
        </w:rPr>
        <w:t>was</w:t>
      </w:r>
      <w:r w:rsidRPr="004F4517">
        <w:rPr>
          <w:rFonts w:eastAsiaTheme="minorEastAsia"/>
          <w:szCs w:val="18"/>
          <w:lang w:eastAsia="zh-CN"/>
        </w:rPr>
        <w:t xml:space="preserve"> uniformly adopted in the training process. Each group of experiments was run in duplicate 5 times to eliminate randomness.</w:t>
      </w:r>
    </w:p>
    <w:p w14:paraId="0211BA22" w14:textId="03F84F93" w:rsidR="00753AF1" w:rsidRPr="004F4517" w:rsidRDefault="00561F59" w:rsidP="00FE1AB5">
      <w:pPr>
        <w:pStyle w:val="Head2"/>
        <w:rPr>
          <w:szCs w:val="18"/>
        </w:rPr>
      </w:pPr>
      <w:r w:rsidRPr="004F4517">
        <w:rPr>
          <w:szCs w:val="18"/>
        </w:rPr>
        <w:lastRenderedPageBreak/>
        <w:t>Experimental Results and Analysis</w:t>
      </w:r>
    </w:p>
    <w:p w14:paraId="356223B3" w14:textId="5B3BC9FB" w:rsidR="00C871E6" w:rsidRPr="004F4517" w:rsidRDefault="00C871E6" w:rsidP="00561F59">
      <w:pPr>
        <w:pStyle w:val="PostHeadPara"/>
        <w:rPr>
          <w:szCs w:val="18"/>
        </w:rPr>
      </w:pPr>
      <w:r w:rsidRPr="004F4517">
        <w:rPr>
          <w:szCs w:val="18"/>
        </w:rPr>
        <w:t xml:space="preserve">The comparison of model performance measured experimentally is shown in Table 2. The results show that the LSTM-GRU hybrid model has the best comprehensive performance in the enterprise multi-indicator prediction task. The standard LSTM model shows high robustness in sales forecast (MAE: 37,000 yuan), but its market share forecast error is 8.9%, and the MAE of inventory turnover ratio is 1.8 times/quarter, exceeding the enterprise inventory control threshold (1.5 times). In contrast, the hybrid model significantly optimizes the forecast accuracy of key business indicators: sales MAE reduced to </w:t>
      </w:r>
      <w:r w:rsidRPr="004F4517">
        <w:rPr>
          <w:szCs w:val="18"/>
        </w:rPr>
        <w:t>28,000-yuan</w:t>
      </w:r>
      <w:r w:rsidRPr="004F4517">
        <w:rPr>
          <w:szCs w:val="18"/>
        </w:rPr>
        <w:t>, market share MAPE compressed from 11.2% to 7.3%, inventory turnover forecast MAE reduced to 1.2 times/quarter. This performance boost stems from the synergy between the LSTM layer's ability to model seasonal consumption trends over long periods and the GRU layer's ability to respond quickly to sudden market fluctuations, such as demand surges caused by competitive price cuts.</w:t>
      </w:r>
    </w:p>
    <w:p w14:paraId="45FD7DB8" w14:textId="4B7870E5" w:rsidR="00561F59" w:rsidRPr="004F4517" w:rsidRDefault="00561F59" w:rsidP="00561F59">
      <w:pPr>
        <w:pStyle w:val="PostHeadPara"/>
        <w:jc w:val="center"/>
        <w:rPr>
          <w:szCs w:val="18"/>
        </w:rPr>
      </w:pPr>
      <w:r w:rsidRPr="004F4517">
        <w:rPr>
          <w:szCs w:val="18"/>
        </w:rPr>
        <w:t>Table 2. Performance of each model</w:t>
      </w:r>
    </w:p>
    <w:tbl>
      <w:tblPr>
        <w:tblStyle w:val="210"/>
        <w:tblW w:w="8080" w:type="dxa"/>
        <w:jc w:val="center"/>
        <w:tblLayout w:type="fixed"/>
        <w:tblLook w:val="04A0" w:firstRow="1" w:lastRow="0" w:firstColumn="1" w:lastColumn="0" w:noHBand="0" w:noVBand="1"/>
      </w:tblPr>
      <w:tblGrid>
        <w:gridCol w:w="1134"/>
        <w:gridCol w:w="1418"/>
        <w:gridCol w:w="1276"/>
        <w:gridCol w:w="1559"/>
        <w:gridCol w:w="1701"/>
        <w:gridCol w:w="992"/>
      </w:tblGrid>
      <w:tr w:rsidR="004F4517" w:rsidRPr="004F4517" w14:paraId="0555DF59" w14:textId="77777777" w:rsidTr="00C871E6">
        <w:trPr>
          <w:cnfStyle w:val="100000000000" w:firstRow="1" w:lastRow="0" w:firstColumn="0" w:lastColumn="0" w:oddVBand="0" w:evenVBand="0" w:oddHBand="0" w:evenHBand="0" w:firstRowFirstColumn="0" w:firstRowLastColumn="0" w:lastRowFirstColumn="0" w:lastRowLastColumn="0"/>
          <w:trHeight w:val="990"/>
          <w:jc w:val="center"/>
        </w:trPr>
        <w:tc>
          <w:tcPr>
            <w:cnfStyle w:val="001000000000" w:firstRow="0" w:lastRow="0" w:firstColumn="1" w:lastColumn="0" w:oddVBand="0" w:evenVBand="0" w:oddHBand="0" w:evenHBand="0" w:firstRowFirstColumn="0" w:firstRowLastColumn="0" w:lastRowFirstColumn="0" w:lastRowLastColumn="0"/>
            <w:tcW w:w="1134" w:type="dxa"/>
            <w:hideMark/>
          </w:tcPr>
          <w:p w14:paraId="21AD0986" w14:textId="77777777" w:rsidR="00C871E6" w:rsidRPr="004F4517" w:rsidRDefault="00C871E6" w:rsidP="00C871E6">
            <w:pPr>
              <w:pStyle w:val="PostHeadPara"/>
              <w:rPr>
                <w:sz w:val="16"/>
                <w:szCs w:val="16"/>
              </w:rPr>
            </w:pPr>
            <w:r w:rsidRPr="004F4517">
              <w:rPr>
                <w:sz w:val="16"/>
                <w:szCs w:val="16"/>
              </w:rPr>
              <w:t xml:space="preserve">Model </w:t>
            </w:r>
          </w:p>
        </w:tc>
        <w:tc>
          <w:tcPr>
            <w:tcW w:w="1418" w:type="dxa"/>
            <w:hideMark/>
          </w:tcPr>
          <w:p w14:paraId="06532357" w14:textId="77777777" w:rsidR="00C871E6" w:rsidRPr="004F4517" w:rsidRDefault="00C871E6" w:rsidP="00C871E6">
            <w:pPr>
              <w:pStyle w:val="PostHeadPara"/>
              <w:cnfStyle w:val="100000000000" w:firstRow="1" w:lastRow="0" w:firstColumn="0" w:lastColumn="0" w:oddVBand="0" w:evenVBand="0" w:oddHBand="0" w:evenHBand="0" w:firstRowFirstColumn="0" w:firstRowLastColumn="0" w:lastRowFirstColumn="0" w:lastRowLastColumn="0"/>
              <w:rPr>
                <w:sz w:val="16"/>
                <w:szCs w:val="16"/>
              </w:rPr>
            </w:pPr>
            <w:r w:rsidRPr="004F4517">
              <w:rPr>
                <w:sz w:val="16"/>
                <w:szCs w:val="16"/>
              </w:rPr>
              <w:t xml:space="preserve">Sales MAE (10 </w:t>
            </w:r>
            <w:r w:rsidRPr="004F4517">
              <w:rPr>
                <w:rFonts w:hint="eastAsia"/>
                <w:sz w:val="16"/>
                <w:szCs w:val="16"/>
              </w:rPr>
              <w:t>t</w:t>
            </w:r>
            <w:r w:rsidRPr="004F4517">
              <w:rPr>
                <w:sz w:val="16"/>
                <w:szCs w:val="16"/>
              </w:rPr>
              <w:t>housand yuan)</w:t>
            </w:r>
          </w:p>
        </w:tc>
        <w:tc>
          <w:tcPr>
            <w:tcW w:w="1276" w:type="dxa"/>
            <w:hideMark/>
          </w:tcPr>
          <w:p w14:paraId="3E7F62EC" w14:textId="77777777" w:rsidR="00C871E6" w:rsidRPr="004F4517" w:rsidRDefault="00C871E6" w:rsidP="00C871E6">
            <w:pPr>
              <w:pStyle w:val="PostHeadPara"/>
              <w:cnfStyle w:val="100000000000" w:firstRow="1" w:lastRow="0" w:firstColumn="0" w:lastColumn="0" w:oddVBand="0" w:evenVBand="0" w:oddHBand="0" w:evenHBand="0" w:firstRowFirstColumn="0" w:firstRowLastColumn="0" w:lastRowFirstColumn="0" w:lastRowLastColumn="0"/>
              <w:rPr>
                <w:sz w:val="16"/>
                <w:szCs w:val="16"/>
              </w:rPr>
            </w:pPr>
            <w:r w:rsidRPr="004F4517">
              <w:rPr>
                <w:sz w:val="16"/>
                <w:szCs w:val="16"/>
              </w:rPr>
              <w:t>Market Share MAPE (%)</w:t>
            </w:r>
          </w:p>
        </w:tc>
        <w:tc>
          <w:tcPr>
            <w:tcW w:w="1559" w:type="dxa"/>
            <w:hideMark/>
          </w:tcPr>
          <w:p w14:paraId="3802D8EB" w14:textId="77777777" w:rsidR="00C871E6" w:rsidRPr="004F4517" w:rsidRDefault="00C871E6" w:rsidP="00C871E6">
            <w:pPr>
              <w:pStyle w:val="PostHeadPara"/>
              <w:cnfStyle w:val="100000000000" w:firstRow="1" w:lastRow="0" w:firstColumn="0" w:lastColumn="0" w:oddVBand="0" w:evenVBand="0" w:oddHBand="0" w:evenHBand="0" w:firstRowFirstColumn="0" w:firstRowLastColumn="0" w:lastRowFirstColumn="0" w:lastRowLastColumn="0"/>
              <w:rPr>
                <w:sz w:val="16"/>
                <w:szCs w:val="16"/>
              </w:rPr>
            </w:pPr>
            <w:r w:rsidRPr="004F4517">
              <w:rPr>
                <w:sz w:val="16"/>
                <w:szCs w:val="16"/>
              </w:rPr>
              <w:t>Marketing cost MAE (ten thousand yuan)</w:t>
            </w:r>
          </w:p>
        </w:tc>
        <w:tc>
          <w:tcPr>
            <w:tcW w:w="1701" w:type="dxa"/>
            <w:hideMark/>
          </w:tcPr>
          <w:p w14:paraId="60487966" w14:textId="77777777" w:rsidR="00C871E6" w:rsidRPr="004F4517" w:rsidRDefault="00C871E6" w:rsidP="00C871E6">
            <w:pPr>
              <w:pStyle w:val="PostHeadPara"/>
              <w:cnfStyle w:val="100000000000" w:firstRow="1" w:lastRow="0" w:firstColumn="0" w:lastColumn="0" w:oddVBand="0" w:evenVBand="0" w:oddHBand="0" w:evenHBand="0" w:firstRowFirstColumn="0" w:firstRowLastColumn="0" w:lastRowFirstColumn="0" w:lastRowLastColumn="0"/>
              <w:rPr>
                <w:sz w:val="16"/>
                <w:szCs w:val="16"/>
              </w:rPr>
            </w:pPr>
            <w:r w:rsidRPr="004F4517">
              <w:rPr>
                <w:sz w:val="16"/>
                <w:szCs w:val="16"/>
              </w:rPr>
              <w:t>Inventory Turnover MAE (second/quarter)</w:t>
            </w:r>
          </w:p>
        </w:tc>
        <w:tc>
          <w:tcPr>
            <w:tcW w:w="992" w:type="dxa"/>
            <w:hideMark/>
          </w:tcPr>
          <w:p w14:paraId="57662993" w14:textId="77777777" w:rsidR="00C871E6" w:rsidRPr="004F4517" w:rsidRDefault="00C871E6" w:rsidP="00C871E6">
            <w:pPr>
              <w:pStyle w:val="PostHeadPara"/>
              <w:cnfStyle w:val="100000000000" w:firstRow="1" w:lastRow="0" w:firstColumn="0" w:lastColumn="0" w:oddVBand="0" w:evenVBand="0" w:oddHBand="0" w:evenHBand="0" w:firstRowFirstColumn="0" w:firstRowLastColumn="0" w:lastRowFirstColumn="0" w:lastRowLastColumn="0"/>
              <w:rPr>
                <w:sz w:val="16"/>
                <w:szCs w:val="16"/>
              </w:rPr>
            </w:pPr>
            <w:r w:rsidRPr="004F4517">
              <w:rPr>
                <w:sz w:val="16"/>
                <w:szCs w:val="16"/>
              </w:rPr>
              <w:t>Training time (min)</w:t>
            </w:r>
          </w:p>
        </w:tc>
      </w:tr>
      <w:tr w:rsidR="004F4517" w:rsidRPr="004F4517" w14:paraId="08A9DBBC" w14:textId="77777777" w:rsidTr="00C871E6">
        <w:trPr>
          <w:trHeight w:val="330"/>
          <w:jc w:val="center"/>
        </w:trPr>
        <w:tc>
          <w:tcPr>
            <w:cnfStyle w:val="001000000000" w:firstRow="0" w:lastRow="0" w:firstColumn="1" w:lastColumn="0" w:oddVBand="0" w:evenVBand="0" w:oddHBand="0" w:evenHBand="0" w:firstRowFirstColumn="0" w:firstRowLastColumn="0" w:lastRowFirstColumn="0" w:lastRowLastColumn="0"/>
            <w:tcW w:w="1134" w:type="dxa"/>
            <w:hideMark/>
          </w:tcPr>
          <w:p w14:paraId="4A65FEDF" w14:textId="77777777" w:rsidR="00C871E6" w:rsidRPr="004F4517" w:rsidRDefault="00C871E6" w:rsidP="00C871E6">
            <w:pPr>
              <w:pStyle w:val="PostHeadPara"/>
              <w:rPr>
                <w:b w:val="0"/>
                <w:bCs w:val="0"/>
                <w:sz w:val="16"/>
                <w:szCs w:val="16"/>
              </w:rPr>
            </w:pPr>
            <w:r w:rsidRPr="004F4517">
              <w:rPr>
                <w:b w:val="0"/>
                <w:bCs w:val="0"/>
                <w:sz w:val="16"/>
                <w:szCs w:val="16"/>
              </w:rPr>
              <w:t>LSTM</w:t>
            </w:r>
          </w:p>
        </w:tc>
        <w:tc>
          <w:tcPr>
            <w:tcW w:w="1418" w:type="dxa"/>
            <w:hideMark/>
          </w:tcPr>
          <w:p w14:paraId="45EF8AED"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3.7</w:t>
            </w:r>
          </w:p>
        </w:tc>
        <w:tc>
          <w:tcPr>
            <w:tcW w:w="1276" w:type="dxa"/>
            <w:hideMark/>
          </w:tcPr>
          <w:p w14:paraId="11B17EBE"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11.2</w:t>
            </w:r>
          </w:p>
        </w:tc>
        <w:tc>
          <w:tcPr>
            <w:tcW w:w="1559" w:type="dxa"/>
            <w:hideMark/>
          </w:tcPr>
          <w:p w14:paraId="6157EDED"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28.5</w:t>
            </w:r>
          </w:p>
        </w:tc>
        <w:tc>
          <w:tcPr>
            <w:tcW w:w="1701" w:type="dxa"/>
            <w:hideMark/>
          </w:tcPr>
          <w:p w14:paraId="054F9211"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1.8</w:t>
            </w:r>
          </w:p>
        </w:tc>
        <w:tc>
          <w:tcPr>
            <w:tcW w:w="992" w:type="dxa"/>
            <w:hideMark/>
          </w:tcPr>
          <w:p w14:paraId="58A3380B"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38</w:t>
            </w:r>
          </w:p>
        </w:tc>
      </w:tr>
      <w:tr w:rsidR="004F4517" w:rsidRPr="004F4517" w14:paraId="7049E354" w14:textId="77777777" w:rsidTr="00C871E6">
        <w:trPr>
          <w:trHeight w:val="330"/>
          <w:jc w:val="center"/>
        </w:trPr>
        <w:tc>
          <w:tcPr>
            <w:cnfStyle w:val="001000000000" w:firstRow="0" w:lastRow="0" w:firstColumn="1" w:lastColumn="0" w:oddVBand="0" w:evenVBand="0" w:oddHBand="0" w:evenHBand="0" w:firstRowFirstColumn="0" w:firstRowLastColumn="0" w:lastRowFirstColumn="0" w:lastRowLastColumn="0"/>
            <w:tcW w:w="1134" w:type="dxa"/>
            <w:hideMark/>
          </w:tcPr>
          <w:p w14:paraId="775F77B0" w14:textId="77777777" w:rsidR="00C871E6" w:rsidRPr="004F4517" w:rsidRDefault="00C871E6" w:rsidP="00C871E6">
            <w:pPr>
              <w:pStyle w:val="PostHeadPara"/>
              <w:rPr>
                <w:b w:val="0"/>
                <w:bCs w:val="0"/>
                <w:sz w:val="16"/>
                <w:szCs w:val="16"/>
              </w:rPr>
            </w:pPr>
            <w:r w:rsidRPr="004F4517">
              <w:rPr>
                <w:b w:val="0"/>
                <w:bCs w:val="0"/>
                <w:sz w:val="16"/>
                <w:szCs w:val="16"/>
              </w:rPr>
              <w:t>GRU</w:t>
            </w:r>
          </w:p>
        </w:tc>
        <w:tc>
          <w:tcPr>
            <w:tcW w:w="1418" w:type="dxa"/>
            <w:hideMark/>
          </w:tcPr>
          <w:p w14:paraId="247F8437"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4.1</w:t>
            </w:r>
          </w:p>
        </w:tc>
        <w:tc>
          <w:tcPr>
            <w:tcW w:w="1276" w:type="dxa"/>
            <w:hideMark/>
          </w:tcPr>
          <w:p w14:paraId="4AFFED66"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13.6</w:t>
            </w:r>
          </w:p>
        </w:tc>
        <w:tc>
          <w:tcPr>
            <w:tcW w:w="1559" w:type="dxa"/>
            <w:hideMark/>
          </w:tcPr>
          <w:p w14:paraId="57433D77"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32.4</w:t>
            </w:r>
          </w:p>
        </w:tc>
        <w:tc>
          <w:tcPr>
            <w:tcW w:w="1701" w:type="dxa"/>
            <w:hideMark/>
          </w:tcPr>
          <w:p w14:paraId="4999EF26"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2.3</w:t>
            </w:r>
          </w:p>
        </w:tc>
        <w:tc>
          <w:tcPr>
            <w:tcW w:w="992" w:type="dxa"/>
            <w:hideMark/>
          </w:tcPr>
          <w:p w14:paraId="31785461"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26</w:t>
            </w:r>
          </w:p>
        </w:tc>
      </w:tr>
      <w:tr w:rsidR="004F4517" w:rsidRPr="004F4517" w14:paraId="733F87E3" w14:textId="77777777" w:rsidTr="00C871E6">
        <w:trPr>
          <w:trHeight w:val="380"/>
          <w:jc w:val="center"/>
        </w:trPr>
        <w:tc>
          <w:tcPr>
            <w:cnfStyle w:val="001000000000" w:firstRow="0" w:lastRow="0" w:firstColumn="1" w:lastColumn="0" w:oddVBand="0" w:evenVBand="0" w:oddHBand="0" w:evenHBand="0" w:firstRowFirstColumn="0" w:firstRowLastColumn="0" w:lastRowFirstColumn="0" w:lastRowLastColumn="0"/>
            <w:tcW w:w="1134" w:type="dxa"/>
            <w:hideMark/>
          </w:tcPr>
          <w:p w14:paraId="5DA30267" w14:textId="77777777" w:rsidR="00C871E6" w:rsidRPr="004F4517" w:rsidRDefault="00C871E6" w:rsidP="00C871E6">
            <w:pPr>
              <w:pStyle w:val="PostHeadPara"/>
              <w:rPr>
                <w:b w:val="0"/>
                <w:bCs w:val="0"/>
                <w:sz w:val="16"/>
                <w:szCs w:val="16"/>
              </w:rPr>
            </w:pPr>
            <w:r w:rsidRPr="004F4517">
              <w:rPr>
                <w:b w:val="0"/>
                <w:bCs w:val="0"/>
                <w:sz w:val="16"/>
                <w:szCs w:val="16"/>
              </w:rPr>
              <w:t>LSTM-GRU</w:t>
            </w:r>
          </w:p>
        </w:tc>
        <w:tc>
          <w:tcPr>
            <w:tcW w:w="1418" w:type="dxa"/>
            <w:hideMark/>
          </w:tcPr>
          <w:p w14:paraId="51A0110B"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2.8</w:t>
            </w:r>
          </w:p>
        </w:tc>
        <w:tc>
          <w:tcPr>
            <w:tcW w:w="1276" w:type="dxa"/>
            <w:hideMark/>
          </w:tcPr>
          <w:p w14:paraId="04BAB4DB"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7.3</w:t>
            </w:r>
          </w:p>
        </w:tc>
        <w:tc>
          <w:tcPr>
            <w:tcW w:w="1559" w:type="dxa"/>
            <w:hideMark/>
          </w:tcPr>
          <w:p w14:paraId="09B8F194"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22.7</w:t>
            </w:r>
          </w:p>
        </w:tc>
        <w:tc>
          <w:tcPr>
            <w:tcW w:w="1701" w:type="dxa"/>
            <w:hideMark/>
          </w:tcPr>
          <w:p w14:paraId="17188133"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1.2</w:t>
            </w:r>
          </w:p>
        </w:tc>
        <w:tc>
          <w:tcPr>
            <w:tcW w:w="992" w:type="dxa"/>
            <w:hideMark/>
          </w:tcPr>
          <w:p w14:paraId="2221517A" w14:textId="77777777" w:rsidR="00C871E6" w:rsidRPr="004F4517" w:rsidRDefault="00C871E6" w:rsidP="00C871E6">
            <w:pPr>
              <w:pStyle w:val="PostHeadPara"/>
              <w:cnfStyle w:val="000000000000" w:firstRow="0" w:lastRow="0" w:firstColumn="0" w:lastColumn="0" w:oddVBand="0" w:evenVBand="0" w:oddHBand="0" w:evenHBand="0" w:firstRowFirstColumn="0" w:firstRowLastColumn="0" w:lastRowFirstColumn="0" w:lastRowLastColumn="0"/>
              <w:rPr>
                <w:sz w:val="16"/>
                <w:szCs w:val="16"/>
              </w:rPr>
            </w:pPr>
            <w:r w:rsidRPr="004F4517">
              <w:rPr>
                <w:sz w:val="16"/>
                <w:szCs w:val="16"/>
              </w:rPr>
              <w:t>31</w:t>
            </w:r>
          </w:p>
        </w:tc>
      </w:tr>
    </w:tbl>
    <w:p w14:paraId="363D6589" w14:textId="77777777" w:rsidR="00C871E6" w:rsidRPr="004F4517" w:rsidRDefault="00C871E6" w:rsidP="00561F59">
      <w:pPr>
        <w:pStyle w:val="PostHeadPara"/>
        <w:jc w:val="center"/>
        <w:rPr>
          <w:szCs w:val="18"/>
        </w:rPr>
      </w:pPr>
    </w:p>
    <w:p w14:paraId="2BE64515" w14:textId="55D3A1E4" w:rsidR="00C871E6" w:rsidRPr="004F4517" w:rsidRDefault="00C871E6" w:rsidP="00C871E6">
      <w:pPr>
        <w:pStyle w:val="PostHeadPara"/>
        <w:rPr>
          <w:szCs w:val="18"/>
        </w:rPr>
      </w:pPr>
      <w:r w:rsidRPr="004F4517">
        <w:rPr>
          <w:szCs w:val="18"/>
        </w:rPr>
        <w:t>GRU model has the shortest training time (26 minutes), but its performance in market share and inventory turnover prediction is poor. Although hybrid model increases training time by about 18% (31 minutes), its multi-index joint prediction yield (JPR) reaches 92.1%, which is significantly higher than LSTM (78.3%) and GRU (70.5%). Under macroeconomic fluctuation scenarios (such as sudden policy adjustments leading to a 20% contraction in market demand), the hybrid model's forecast error for sales is always less than 5%, while the peak errors of LSTM and GRU models are 9.2% and 12.7%, respectively, exceeding the enterprise risk control threshold. This robustness is attributed to the explicit modeling of multi-index coupling mechanism: when demand contraction leads to additional promotional resources, the hybrid model dynamically modifies the decision weight of inventory policy by correlating the negative relationship between market share expansion and marketing cost overrun.</w:t>
      </w:r>
    </w:p>
    <w:p w14:paraId="6472B397" w14:textId="70F085EC" w:rsidR="00245884" w:rsidRPr="004F4517" w:rsidRDefault="00C871E6">
      <w:pPr>
        <w:pStyle w:val="Head1"/>
        <w:rPr>
          <w:szCs w:val="18"/>
        </w:rPr>
      </w:pPr>
      <w:r w:rsidRPr="004F4517">
        <w:rPr>
          <w:szCs w:val="18"/>
        </w:rPr>
        <w:t>Business Decision Based on Sales Forecast</w:t>
      </w:r>
    </w:p>
    <w:p w14:paraId="5013F3C1" w14:textId="77777777" w:rsidR="00C871E6" w:rsidRPr="004F4517" w:rsidRDefault="00C871E6" w:rsidP="00C871E6">
      <w:pPr>
        <w:pStyle w:val="PostHeadPara"/>
        <w:rPr>
          <w:szCs w:val="18"/>
        </w:rPr>
      </w:pPr>
      <w:r w:rsidRPr="004F4517">
        <w:rPr>
          <w:szCs w:val="18"/>
        </w:rPr>
        <w:t xml:space="preserve">Long-term resource allocation decisions. When the LSTM layer identifies seasonal trends (such as regular increases in holiday demand), the system triggers a warehouse pre-allocation strategy: based on collaborative forecasting of sales and inventory turnover, dynamically raise safety stock levels in high-demand areas, and optimize logistics route planning. Practice data shows that the average utilization rate of storage increases by 21%-24%, the cost of cross-regional transfer decreases by 17%, and the demand satisfaction rate is stable at more than 93%. </w:t>
      </w:r>
    </w:p>
    <w:p w14:paraId="287B12E0" w14:textId="77777777" w:rsidR="00C871E6" w:rsidRPr="004F4517" w:rsidRDefault="00C871E6" w:rsidP="00C871E6">
      <w:pPr>
        <w:pStyle w:val="PostHeadPara"/>
        <w:rPr>
          <w:szCs w:val="18"/>
        </w:rPr>
      </w:pPr>
      <w:r w:rsidRPr="004F4517">
        <w:rPr>
          <w:szCs w:val="18"/>
        </w:rPr>
        <w:t xml:space="preserve">  Short-term market response decisions. When GRU layer captures sudden fluctuations (such as competitive price reduction shock within 48 hours), the system starts elastic pricing strategy: under the premise of maintaining the margin of safety of gross profit margin, hedge share loss through price bandwidth adjustment, and restrict resource investment by related marketing cost threshold. The experimental records show that every 1% price concession </w:t>
      </w:r>
      <w:r w:rsidRPr="004F4517">
        <w:rPr>
          <w:szCs w:val="18"/>
        </w:rPr>
        <w:lastRenderedPageBreak/>
        <w:t xml:space="preserve">strategy recovers 0.75%-0.85% market share on average (MAPE fluctuation range 6.8%-7.8%), and the average marginal return of tactical promotion reaches 1:3.2. </w:t>
      </w:r>
    </w:p>
    <w:p w14:paraId="148FD419" w14:textId="767CA744" w:rsidR="00C871E6" w:rsidRPr="004F4517" w:rsidRDefault="00C871E6" w:rsidP="00C871E6">
      <w:pPr>
        <w:pStyle w:val="PostHeadPara"/>
        <w:rPr>
          <w:szCs w:val="18"/>
        </w:rPr>
      </w:pPr>
      <w:r w:rsidRPr="004F4517">
        <w:rPr>
          <w:szCs w:val="18"/>
        </w:rPr>
        <w:t>Multi-index collaborative risk control decision-making. When the model resolves strong coupling signals between indicators (such as marketing cost increases exceeding the share revenue threshold), the system performs resource rebalancing decisions: automatically cutting inefficient channel budgets and shifting resources to high-turnover category promotion. Stress testing confirmed that the resource mismatch rate decreased from 34.2% at baseline to 23.5% on average, and the deviation of core indicators exceeded the safety threshold probability of 5% under extreme volatility scenarios.</w:t>
      </w:r>
    </w:p>
    <w:p w14:paraId="12857A9D" w14:textId="6CC889D0" w:rsidR="00C871E6" w:rsidRPr="004F4517" w:rsidRDefault="00C871E6" w:rsidP="00C871E6">
      <w:pPr>
        <w:pStyle w:val="PostHeadPara"/>
        <w:rPr>
          <w:szCs w:val="18"/>
        </w:rPr>
      </w:pPr>
      <w:r w:rsidRPr="004F4517">
        <w:rPr>
          <w:szCs w:val="18"/>
        </w:rPr>
        <w:t>The essence of the decision framework is the dynamic coupling between prediction and execution: the macro trend of LSTM layer output drives the strategic layout of resources, the micro fluctuation captured by GRU layer triggers the tactical response, and the coupling relationship matrix formed by multi-index joint prediction truly realizes the integration closed loop.</w:t>
      </w:r>
    </w:p>
    <w:p w14:paraId="211383F6" w14:textId="765329F3" w:rsidR="00C871E6" w:rsidRPr="004F4517" w:rsidRDefault="00C871E6" w:rsidP="00D24B9D">
      <w:pPr>
        <w:pStyle w:val="Head1"/>
      </w:pPr>
      <w:r w:rsidRPr="004F4517">
        <w:t>conclusion</w:t>
      </w:r>
    </w:p>
    <w:p w14:paraId="21793F30" w14:textId="5E2C5B21" w:rsidR="00CD6400" w:rsidRPr="004F4517" w:rsidRDefault="00C871E6" w:rsidP="00D24B9D">
      <w:pPr>
        <w:pStyle w:val="PostHeadPara"/>
        <w:rPr>
          <w:szCs w:val="18"/>
        </w:rPr>
      </w:pPr>
      <w:r w:rsidRPr="004F4517">
        <w:rPr>
          <w:szCs w:val="18"/>
        </w:rPr>
        <w:t>LSTM-GRU hybrid model integrates long-term sales trend and short-term market mutation effectively through hierarchical gating mechanism, and shows significant advantages in enterprise sales forecasting. Compared with a single LSTM or GRU model, the hybrid architecture reduces the prediction error of key indicators such as sales and market share by 18%-35%, and can capture abnormal fluctuations in market demand 30 days in advance to meet the timeliness requirements of enterprise business decisions. Empirical analysis verifies the strong explanatory power of the model to the multi-index coupling relationship, especially in the macroeconomic fluctuation and competitive strategy mutation scenario, the prediction error is always lower than the risk control threshold. The research results provide reliable algorithm support for dynamic inventory optimization and resource allocation, and help to construct data-driven enterprise Business Decision-making system</w:t>
      </w:r>
      <w:r w:rsidR="00CD6400" w:rsidRPr="004F4517">
        <w:rPr>
          <w:szCs w:val="18"/>
        </w:rPr>
        <w:t>.</w:t>
      </w:r>
    </w:p>
    <w:p w14:paraId="09392EB0" w14:textId="2E0191E2" w:rsidR="004F4517" w:rsidRPr="00D52753" w:rsidRDefault="007B20D0" w:rsidP="00D52753">
      <w:pPr>
        <w:pStyle w:val="ReferenceHead"/>
        <w:rPr>
          <w:rFonts w:hint="eastAsia"/>
          <w:szCs w:val="18"/>
        </w:rPr>
      </w:pPr>
      <w:r w:rsidRPr="004F4517">
        <w:rPr>
          <w:szCs w:val="18"/>
        </w:rPr>
        <w:t>REFERENCES</w:t>
      </w:r>
    </w:p>
    <w:p w14:paraId="09721669" w14:textId="77777777" w:rsidR="004F4517" w:rsidRDefault="004F4517" w:rsidP="004F4517">
      <w:pPr>
        <w:pStyle w:val="Bibentry"/>
        <w:numPr>
          <w:ilvl w:val="0"/>
          <w:numId w:val="0"/>
        </w:numPr>
        <w:ind w:left="360" w:hanging="360"/>
        <w:rPr>
          <w:rFonts w:eastAsia="Yu Mincho"/>
          <w:sz w:val="18"/>
          <w:szCs w:val="18"/>
        </w:rPr>
      </w:pPr>
    </w:p>
    <w:p w14:paraId="3D4B2CD9" w14:textId="49F49883" w:rsidR="004F4517" w:rsidRDefault="004F4517" w:rsidP="00D52753">
      <w:pPr>
        <w:pStyle w:val="Bibentry"/>
        <w:rPr>
          <w:sz w:val="18"/>
          <w:szCs w:val="18"/>
        </w:rPr>
      </w:pPr>
      <w:r w:rsidRPr="004F4517">
        <w:rPr>
          <w:sz w:val="18"/>
          <w:szCs w:val="18"/>
        </w:rPr>
        <w:t xml:space="preserve">Gupta A, Agarwal P. Enhancing sales forecasting accuracy through integrated enterprise resource planning and customer relationship management using artificial intelligence[C]//2024 3rd International Conference on Artificial Intelligence </w:t>
      </w:r>
      <w:proofErr w:type="gramStart"/>
      <w:r w:rsidRPr="004F4517">
        <w:rPr>
          <w:sz w:val="18"/>
          <w:szCs w:val="18"/>
        </w:rPr>
        <w:t>For</w:t>
      </w:r>
      <w:proofErr w:type="gramEnd"/>
      <w:r w:rsidRPr="004F4517">
        <w:rPr>
          <w:sz w:val="18"/>
          <w:szCs w:val="18"/>
        </w:rPr>
        <w:t xml:space="preserve"> Internet of Things (</w:t>
      </w:r>
      <w:proofErr w:type="spellStart"/>
      <w:r w:rsidRPr="004F4517">
        <w:rPr>
          <w:sz w:val="18"/>
          <w:szCs w:val="18"/>
        </w:rPr>
        <w:t>AIIoT</w:t>
      </w:r>
      <w:proofErr w:type="spellEnd"/>
      <w:r w:rsidRPr="004F4517">
        <w:rPr>
          <w:sz w:val="18"/>
          <w:szCs w:val="18"/>
        </w:rPr>
        <w:t>). IEEE, 2024: 1-6.</w:t>
      </w:r>
    </w:p>
    <w:p w14:paraId="57917C0F" w14:textId="2A40E6E9" w:rsidR="004F4517" w:rsidRDefault="004F4517" w:rsidP="00D52753">
      <w:pPr>
        <w:pStyle w:val="Bibentry"/>
        <w:rPr>
          <w:sz w:val="18"/>
          <w:szCs w:val="18"/>
        </w:rPr>
      </w:pPr>
      <w:r w:rsidRPr="004F4517">
        <w:rPr>
          <w:sz w:val="18"/>
          <w:szCs w:val="18"/>
        </w:rPr>
        <w:t xml:space="preserve">Venkataramanan S, Sadhu A K R, </w:t>
      </w:r>
      <w:proofErr w:type="spellStart"/>
      <w:r w:rsidRPr="004F4517">
        <w:rPr>
          <w:sz w:val="18"/>
          <w:szCs w:val="18"/>
        </w:rPr>
        <w:t>Gudala</w:t>
      </w:r>
      <w:proofErr w:type="spellEnd"/>
      <w:r w:rsidRPr="004F4517">
        <w:rPr>
          <w:sz w:val="18"/>
          <w:szCs w:val="18"/>
        </w:rPr>
        <w:t xml:space="preserve"> L, et al. Leveraging artificial intelligence for enhanced sales forecasting accuracy: a review of AI-driven techniques and practical applications in customer relationship management systems[J]. Aust. J. Mach. Learn. Res. Appl, 2024, 4(1): 267-287.</w:t>
      </w:r>
    </w:p>
    <w:p w14:paraId="4234BDA7" w14:textId="5840FF3F" w:rsidR="004F4517" w:rsidRDefault="004F4517" w:rsidP="00D52753">
      <w:pPr>
        <w:pStyle w:val="Bibentry"/>
        <w:rPr>
          <w:sz w:val="18"/>
          <w:szCs w:val="18"/>
        </w:rPr>
      </w:pPr>
      <w:r w:rsidRPr="004F4517">
        <w:rPr>
          <w:sz w:val="18"/>
          <w:szCs w:val="18"/>
        </w:rPr>
        <w:t>Schmidt A, Kabir M W U, Hoque M T. Machine learning based restaurant sales forecasting[J]. Machine Learning and Knowledge Extraction, 2022, 4(1): 105-130.</w:t>
      </w:r>
    </w:p>
    <w:p w14:paraId="4CE163B4" w14:textId="75805814" w:rsidR="004F4517" w:rsidRDefault="004F4517" w:rsidP="00D52753">
      <w:pPr>
        <w:pStyle w:val="Bibentry"/>
        <w:rPr>
          <w:sz w:val="18"/>
          <w:szCs w:val="18"/>
        </w:rPr>
      </w:pPr>
      <w:proofErr w:type="spellStart"/>
      <w:r w:rsidRPr="004F4517">
        <w:rPr>
          <w:sz w:val="18"/>
          <w:szCs w:val="18"/>
        </w:rPr>
        <w:t>Sohrabpour</w:t>
      </w:r>
      <w:proofErr w:type="spellEnd"/>
      <w:r w:rsidRPr="004F4517">
        <w:rPr>
          <w:sz w:val="18"/>
          <w:szCs w:val="18"/>
        </w:rPr>
        <w:t xml:space="preserve"> V, </w:t>
      </w:r>
      <w:proofErr w:type="spellStart"/>
      <w:r w:rsidRPr="004F4517">
        <w:rPr>
          <w:sz w:val="18"/>
          <w:szCs w:val="18"/>
        </w:rPr>
        <w:t>Oghazi</w:t>
      </w:r>
      <w:proofErr w:type="spellEnd"/>
      <w:r w:rsidRPr="004F4517">
        <w:rPr>
          <w:sz w:val="18"/>
          <w:szCs w:val="18"/>
        </w:rPr>
        <w:t xml:space="preserve"> P, </w:t>
      </w:r>
      <w:proofErr w:type="spellStart"/>
      <w:r w:rsidRPr="004F4517">
        <w:rPr>
          <w:sz w:val="18"/>
          <w:szCs w:val="18"/>
        </w:rPr>
        <w:t>Toorajipour</w:t>
      </w:r>
      <w:proofErr w:type="spellEnd"/>
      <w:r w:rsidRPr="004F4517">
        <w:rPr>
          <w:sz w:val="18"/>
          <w:szCs w:val="18"/>
        </w:rPr>
        <w:t xml:space="preserve"> R, et al. Export sales forecasting using artificial intelligence[J]. Technological Forecasting and Social Change, 2021, 163: 120480.</w:t>
      </w:r>
    </w:p>
    <w:p w14:paraId="79A5526D" w14:textId="2BD0A72C" w:rsidR="004F4517" w:rsidRDefault="004F4517" w:rsidP="00D52753">
      <w:pPr>
        <w:pStyle w:val="Bibentry"/>
        <w:rPr>
          <w:sz w:val="18"/>
          <w:szCs w:val="18"/>
        </w:rPr>
      </w:pPr>
      <w:r w:rsidRPr="004F4517">
        <w:rPr>
          <w:sz w:val="18"/>
          <w:szCs w:val="18"/>
        </w:rPr>
        <w:t xml:space="preserve">He Q </w:t>
      </w:r>
      <w:proofErr w:type="spellStart"/>
      <w:r w:rsidRPr="004F4517">
        <w:rPr>
          <w:sz w:val="18"/>
          <w:szCs w:val="18"/>
        </w:rPr>
        <w:t>Q</w:t>
      </w:r>
      <w:proofErr w:type="spellEnd"/>
      <w:r w:rsidRPr="004F4517">
        <w:rPr>
          <w:sz w:val="18"/>
          <w:szCs w:val="18"/>
        </w:rPr>
        <w:t>, Wu C, Si Y W. LSTM with particle Swam optimization for sales forecasting[J]. Electronic Commerce Research and Applications, 2022, 51: 101118.</w:t>
      </w:r>
    </w:p>
    <w:p w14:paraId="5D6BAFFB" w14:textId="2304A6C0" w:rsidR="004F4517" w:rsidRDefault="004F4517" w:rsidP="00D52753">
      <w:pPr>
        <w:pStyle w:val="Bibentry"/>
        <w:rPr>
          <w:sz w:val="18"/>
          <w:szCs w:val="18"/>
        </w:rPr>
      </w:pPr>
      <w:r w:rsidRPr="004F4517">
        <w:rPr>
          <w:sz w:val="18"/>
          <w:szCs w:val="18"/>
        </w:rPr>
        <w:t xml:space="preserve">Gandhi M A, </w:t>
      </w:r>
      <w:proofErr w:type="spellStart"/>
      <w:r w:rsidRPr="004F4517">
        <w:rPr>
          <w:sz w:val="18"/>
          <w:szCs w:val="18"/>
        </w:rPr>
        <w:t>Maharram</w:t>
      </w:r>
      <w:proofErr w:type="spellEnd"/>
      <w:r w:rsidRPr="004F4517">
        <w:rPr>
          <w:sz w:val="18"/>
          <w:szCs w:val="18"/>
        </w:rPr>
        <w:t xml:space="preserve"> V K, Raja G, et al. A novel method for exploring the store sales forecasting using fuzzy Pruning LS-SVM approach[C]//2023 2nd International Conference on Edge Computing and Applications (ICECAA). IEEE, 2023: 537-543.</w:t>
      </w:r>
    </w:p>
    <w:p w14:paraId="6936C365" w14:textId="2FD87704" w:rsidR="004F4517" w:rsidRPr="00D52753" w:rsidRDefault="004F4517" w:rsidP="00D52753">
      <w:pPr>
        <w:pStyle w:val="Bibentry"/>
        <w:rPr>
          <w:sz w:val="18"/>
          <w:szCs w:val="18"/>
        </w:rPr>
      </w:pPr>
      <w:proofErr w:type="spellStart"/>
      <w:r w:rsidRPr="00D52753">
        <w:rPr>
          <w:sz w:val="18"/>
          <w:szCs w:val="18"/>
        </w:rPr>
        <w:t>Vallés</w:t>
      </w:r>
      <w:proofErr w:type="spellEnd"/>
      <w:r w:rsidRPr="00D52753">
        <w:rPr>
          <w:sz w:val="18"/>
          <w:szCs w:val="18"/>
        </w:rPr>
        <w:t>-Pérez I, Soria-Olivas E, Martínez-Sober M, et al. Approaching sales forecasting using recurrent neural networks and transformers[J]. Expert Systems with Applications, 2022, 201: 116993.</w:t>
      </w:r>
    </w:p>
    <w:p w14:paraId="1872BE32" w14:textId="7291DA44" w:rsidR="004F4517" w:rsidRPr="00D52753" w:rsidRDefault="00D52753" w:rsidP="00D52753">
      <w:pPr>
        <w:pStyle w:val="Bibentry"/>
        <w:rPr>
          <w:sz w:val="18"/>
          <w:szCs w:val="18"/>
        </w:rPr>
      </w:pPr>
      <w:proofErr w:type="spellStart"/>
      <w:r w:rsidRPr="00D52753">
        <w:rPr>
          <w:sz w:val="18"/>
          <w:szCs w:val="18"/>
        </w:rPr>
        <w:t>Shilong</w:t>
      </w:r>
      <w:proofErr w:type="spellEnd"/>
      <w:r w:rsidRPr="00D52753">
        <w:rPr>
          <w:sz w:val="18"/>
          <w:szCs w:val="18"/>
        </w:rPr>
        <w:t xml:space="preserve"> Z. Machine learning model for sales forecasting by using </w:t>
      </w:r>
      <w:proofErr w:type="spellStart"/>
      <w:r w:rsidRPr="00D52753">
        <w:rPr>
          <w:sz w:val="18"/>
          <w:szCs w:val="18"/>
        </w:rPr>
        <w:t>XGBoost</w:t>
      </w:r>
      <w:proofErr w:type="spellEnd"/>
      <w:r w:rsidRPr="00D52753">
        <w:rPr>
          <w:sz w:val="18"/>
          <w:szCs w:val="18"/>
        </w:rPr>
        <w:t>[C]//2021 IEEE International Conference on Consumer Electronics and Computer Engineering (ICCECE). IEEE, 2021: 480-483.</w:t>
      </w:r>
    </w:p>
    <w:p w14:paraId="291313FB" w14:textId="1BA66FA6" w:rsidR="00D52753" w:rsidRPr="00D52753" w:rsidRDefault="00D52753" w:rsidP="00D52753">
      <w:pPr>
        <w:pStyle w:val="Bibentry"/>
        <w:rPr>
          <w:sz w:val="18"/>
          <w:szCs w:val="18"/>
        </w:rPr>
      </w:pPr>
      <w:r w:rsidRPr="00D52753">
        <w:rPr>
          <w:sz w:val="18"/>
          <w:szCs w:val="18"/>
        </w:rPr>
        <w:t>Rohaan D, Topan E, Groothuis-</w:t>
      </w:r>
      <w:proofErr w:type="spellStart"/>
      <w:r w:rsidRPr="00D52753">
        <w:rPr>
          <w:sz w:val="18"/>
          <w:szCs w:val="18"/>
        </w:rPr>
        <w:t>Oudshoorn</w:t>
      </w:r>
      <w:proofErr w:type="spellEnd"/>
      <w:r w:rsidRPr="00D52753">
        <w:rPr>
          <w:sz w:val="18"/>
          <w:szCs w:val="18"/>
        </w:rPr>
        <w:t xml:space="preserve"> C G M. Using supervised machine learning for B2B sales forecasting: A case study of spare parts sales forecasting at an after-sales service provider[J]. Expert systems with applications, 2022, 188: 115925.</w:t>
      </w:r>
    </w:p>
    <w:p w14:paraId="759BF1C9" w14:textId="548283A7" w:rsidR="00D52753" w:rsidRPr="00D52753" w:rsidRDefault="00D52753" w:rsidP="00D52753">
      <w:pPr>
        <w:pStyle w:val="Bibentry"/>
        <w:rPr>
          <w:sz w:val="18"/>
          <w:szCs w:val="18"/>
        </w:rPr>
      </w:pPr>
      <w:r w:rsidRPr="00D52753">
        <w:rPr>
          <w:sz w:val="18"/>
          <w:szCs w:val="18"/>
        </w:rPr>
        <w:t>Deepa K, Raghuram G. Sales forecasting using machine learning models[J]. Annals of the Romanian Society for Cell Biology, 2021, 25(5): 3928-3936.</w:t>
      </w:r>
    </w:p>
    <w:p w14:paraId="277CE638" w14:textId="77777777" w:rsidR="004F4517" w:rsidRPr="00D52753" w:rsidRDefault="004F4517" w:rsidP="00D52753">
      <w:pPr>
        <w:pStyle w:val="Bibentry"/>
        <w:numPr>
          <w:ilvl w:val="0"/>
          <w:numId w:val="0"/>
        </w:numPr>
        <w:ind w:left="360"/>
        <w:rPr>
          <w:sz w:val="18"/>
          <w:szCs w:val="18"/>
        </w:rPr>
      </w:pPr>
    </w:p>
    <w:p w14:paraId="64A834C0" w14:textId="77777777" w:rsidR="004F4517" w:rsidRPr="004F4517" w:rsidRDefault="004F4517" w:rsidP="004F4517">
      <w:pPr>
        <w:pStyle w:val="Bibentry"/>
        <w:numPr>
          <w:ilvl w:val="0"/>
          <w:numId w:val="0"/>
        </w:numPr>
        <w:ind w:left="360" w:hanging="360"/>
        <w:rPr>
          <w:rFonts w:eastAsia="Yu Mincho" w:hint="eastAsia"/>
          <w:sz w:val="18"/>
          <w:szCs w:val="18"/>
        </w:rPr>
      </w:pPr>
    </w:p>
    <w:p w14:paraId="75A8F342" w14:textId="77777777" w:rsidR="00CD6400" w:rsidRPr="004F4517" w:rsidRDefault="00CD6400" w:rsidP="00CD6400">
      <w:pPr>
        <w:pStyle w:val="Bibentry"/>
        <w:numPr>
          <w:ilvl w:val="0"/>
          <w:numId w:val="0"/>
        </w:numPr>
        <w:ind w:left="360" w:hanging="360"/>
        <w:rPr>
          <w:sz w:val="18"/>
          <w:szCs w:val="18"/>
        </w:rPr>
      </w:pPr>
    </w:p>
    <w:p w14:paraId="0BFDCCF2" w14:textId="77777777" w:rsidR="00E64764" w:rsidRPr="004F4517" w:rsidRDefault="00E64764" w:rsidP="00E64764">
      <w:pPr>
        <w:pStyle w:val="Bibentry"/>
        <w:numPr>
          <w:ilvl w:val="0"/>
          <w:numId w:val="0"/>
        </w:numPr>
        <w:ind w:left="360" w:hanging="360"/>
        <w:rPr>
          <w:sz w:val="18"/>
          <w:szCs w:val="18"/>
        </w:rPr>
      </w:pPr>
    </w:p>
    <w:sectPr w:rsidR="00E64764" w:rsidRPr="004F4517" w:rsidSect="00B2536D">
      <w:footerReference w:type="default" r:id="rId11"/>
      <w:headerReference w:type="first" r:id="rId12"/>
      <w:footerReference w:type="first" r:id="rId13"/>
      <w:footnotePr>
        <w:numFmt w:val="chicago"/>
      </w:footnotePr>
      <w:type w:val="continuous"/>
      <w:pgSz w:w="12240" w:h="15840"/>
      <w:pgMar w:top="1760" w:right="2040" w:bottom="2840" w:left="1440" w:header="706"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D0C07" w14:textId="77777777" w:rsidR="00C95D53" w:rsidRDefault="00C95D53">
      <w:pPr>
        <w:spacing w:line="240" w:lineRule="auto"/>
      </w:pPr>
      <w:r>
        <w:separator/>
      </w:r>
    </w:p>
  </w:endnote>
  <w:endnote w:type="continuationSeparator" w:id="0">
    <w:p w14:paraId="238B52D0" w14:textId="77777777" w:rsidR="00C95D53" w:rsidRDefault="00C95D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Linux Libertine O">
    <w:altName w:val="Cambria"/>
    <w:charset w:val="00"/>
    <w:family w:val="auto"/>
    <w:pitch w:val="default"/>
    <w:sig w:usb0="00000000" w:usb1="00000000" w:usb2="0200002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inux Biolinum O">
    <w:altName w:val="Calibri"/>
    <w:charset w:val="00"/>
    <w:family w:val="auto"/>
    <w:pitch w:val="default"/>
    <w:sig w:usb0="00000000" w:usb1="00000000" w:usb2="0000002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consolataN">
    <w:altName w:val="Calibri"/>
    <w:charset w:val="00"/>
    <w:family w:val="auto"/>
    <w:pitch w:val="default"/>
    <w:sig w:usb0="00000000"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Linux Libertine">
    <w:altName w:val="Times New Roman"/>
    <w:charset w:val="00"/>
    <w:family w:val="auto"/>
    <w:pitch w:val="default"/>
    <w:sig w:usb0="00000000" w:usb1="00000000" w:usb2="00000020" w:usb3="00000000" w:csb0="000001BF" w:csb1="00000000"/>
  </w:font>
  <w:font w:name="Linux Biolinum">
    <w:altName w:val="Calibri"/>
    <w:charset w:val="00"/>
    <w:family w:val="auto"/>
    <w:pitch w:val="default"/>
    <w:sig w:usb0="00000000" w:usb1="00000000" w:usb2="0000002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2059650"/>
      <w:docPartObj>
        <w:docPartGallery w:val="Page Numbers (Bottom of Page)"/>
        <w:docPartUnique/>
      </w:docPartObj>
    </w:sdtPr>
    <w:sdtEndPr/>
    <w:sdtContent>
      <w:p w14:paraId="721F129C" w14:textId="77777777" w:rsidR="00FD714E" w:rsidRDefault="00FD714E">
        <w:pPr>
          <w:pStyle w:val="a6"/>
          <w:jc w:val="center"/>
        </w:pPr>
        <w:r>
          <w:fldChar w:fldCharType="begin"/>
        </w:r>
        <w:r>
          <w:instrText>PAGE   \* MERGEFORMAT</w:instrText>
        </w:r>
        <w:r>
          <w:fldChar w:fldCharType="separate"/>
        </w:r>
        <w:r>
          <w:rPr>
            <w:lang w:val="zh-CN" w:eastAsia="zh-CN"/>
          </w:rPr>
          <w:t>2</w:t>
        </w:r>
        <w:r>
          <w:fldChar w:fldCharType="end"/>
        </w:r>
      </w:p>
    </w:sdtContent>
  </w:sdt>
  <w:p w14:paraId="2D19D18D" w14:textId="77777777" w:rsidR="00FD714E" w:rsidRDefault="00FD714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250D" w14:textId="77777777" w:rsidR="00245884" w:rsidRDefault="00245884">
    <w:pPr>
      <w:pStyle w:val="a6"/>
    </w:pPr>
  </w:p>
  <w:p w14:paraId="1AB36760" w14:textId="77777777" w:rsidR="00245884" w:rsidRDefault="00245884">
    <w:pPr>
      <w:pStyle w:val="a6"/>
    </w:pPr>
  </w:p>
  <w:p w14:paraId="6F9186E5" w14:textId="77777777" w:rsidR="00245884" w:rsidRDefault="00245884">
    <w:pPr>
      <w:pStyle w:val="a6"/>
    </w:pPr>
  </w:p>
  <w:p w14:paraId="3CF0E1CC" w14:textId="77777777" w:rsidR="00245884" w:rsidRDefault="00245884">
    <w:pPr>
      <w:pStyle w:val="a6"/>
    </w:pPr>
  </w:p>
  <w:p w14:paraId="00132A74" w14:textId="77777777" w:rsidR="00245884" w:rsidRDefault="00245884">
    <w:pPr>
      <w:pStyle w:val="a6"/>
    </w:pPr>
  </w:p>
  <w:p w14:paraId="7A50415C" w14:textId="77777777" w:rsidR="00245884" w:rsidRDefault="00245884">
    <w:pPr>
      <w:pStyle w:val="a6"/>
    </w:pPr>
  </w:p>
  <w:p w14:paraId="73E8607B" w14:textId="77777777" w:rsidR="00245884" w:rsidRDefault="00245884">
    <w:pPr>
      <w:pStyle w:val="a6"/>
    </w:pPr>
  </w:p>
  <w:p w14:paraId="34CA321D" w14:textId="77777777" w:rsidR="00245884" w:rsidRDefault="00245884">
    <w:pPr>
      <w:pStyle w:val="a6"/>
    </w:pPr>
  </w:p>
  <w:p w14:paraId="4BF15DDF" w14:textId="77777777" w:rsidR="00245884" w:rsidRDefault="00245884">
    <w:pPr>
      <w:pStyle w:val="a6"/>
    </w:pPr>
  </w:p>
  <w:p w14:paraId="05AB1DF7" w14:textId="77777777" w:rsidR="00245884" w:rsidRDefault="00245884">
    <w:pPr>
      <w:pStyle w:val="a6"/>
    </w:pPr>
  </w:p>
  <w:p w14:paraId="10A93A11" w14:textId="77777777" w:rsidR="00245884" w:rsidRDefault="00245884">
    <w:pPr>
      <w:pStyle w:val="a6"/>
    </w:pPr>
  </w:p>
  <w:p w14:paraId="47254D88" w14:textId="77777777" w:rsidR="00245884" w:rsidRDefault="00245884">
    <w:pPr>
      <w:pStyle w:val="a6"/>
    </w:pPr>
  </w:p>
  <w:p w14:paraId="7D1C2C73" w14:textId="77777777" w:rsidR="00245884" w:rsidRDefault="00245884">
    <w:pPr>
      <w:pStyle w:val="a6"/>
    </w:pPr>
  </w:p>
  <w:p w14:paraId="3CE23402" w14:textId="77777777" w:rsidR="00245884" w:rsidRDefault="00245884">
    <w:pPr>
      <w:pStyle w:val="a6"/>
    </w:pPr>
  </w:p>
  <w:p w14:paraId="4CF210DC" w14:textId="77777777" w:rsidR="00245884" w:rsidRDefault="00245884">
    <w:pPr>
      <w:pStyle w:val="a6"/>
    </w:pPr>
  </w:p>
  <w:p w14:paraId="7D7DA37B" w14:textId="77777777" w:rsidR="00245884" w:rsidRDefault="00245884">
    <w:pPr>
      <w:pStyle w:val="a6"/>
    </w:pPr>
  </w:p>
  <w:p w14:paraId="57F5A489" w14:textId="77777777" w:rsidR="00245884" w:rsidRDefault="0024588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1560D" w14:textId="77777777" w:rsidR="00C95D53" w:rsidRDefault="00C95D53">
      <w:pPr>
        <w:spacing w:after="0"/>
      </w:pPr>
      <w:r>
        <w:separator/>
      </w:r>
    </w:p>
  </w:footnote>
  <w:footnote w:type="continuationSeparator" w:id="0">
    <w:p w14:paraId="119221F7" w14:textId="77777777" w:rsidR="00C95D53" w:rsidRDefault="00C95D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06793" w14:textId="77777777" w:rsidR="00245884" w:rsidRDefault="007B20D0">
    <w:pPr>
      <w:pStyle w:val="a8"/>
      <w:rPr>
        <w:rFonts w:ascii="Times New Roman" w:hAnsi="Times New Roman" w:cs="Times New Roman"/>
        <w:sz w:val="36"/>
        <w:szCs w:val="36"/>
        <w:lang w:eastAsia="zh-CN"/>
      </w:rPr>
    </w:pPr>
    <w:r>
      <w:rPr>
        <w:rFonts w:ascii="Times New Roman" w:hAnsi="Times New Roman" w:cs="Times New Roman"/>
        <w:sz w:val="36"/>
        <w:szCs w:val="36"/>
        <w:lang w:eastAsia="zh-CN"/>
      </w:rPr>
      <w:t>ACM-1-1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E274A"/>
    <w:multiLevelType w:val="hybridMultilevel"/>
    <w:tmpl w:val="14B4AA28"/>
    <w:lvl w:ilvl="0" w:tplc="52CA544A">
      <w:start w:val="1"/>
      <w:numFmt w:val="decimal"/>
      <w:lvlText w:val="[%1]"/>
      <w:lvlJc w:val="left"/>
      <w:pPr>
        <w:ind w:left="440" w:hanging="44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0A932F7"/>
    <w:multiLevelType w:val="multilevel"/>
    <w:tmpl w:val="20A932F7"/>
    <w:lvl w:ilvl="0">
      <w:start w:val="1"/>
      <w:numFmt w:val="decimal"/>
      <w:lvlText w:val="%1、"/>
      <w:lvlJc w:val="left"/>
      <w:pPr>
        <w:ind w:left="360" w:hanging="360"/>
      </w:pPr>
      <w:rPr>
        <w:rFonts w:ascii="宋体" w:hAnsi="宋体" w:cs="宋体" w:hint="default"/>
        <w:color w:val="auto"/>
      </w:rPr>
    </w:lvl>
    <w:lvl w:ilvl="1">
      <w:start w:val="1"/>
      <w:numFmt w:val="decimalEnclosedCircle"/>
      <w:lvlText w:val="%2"/>
      <w:lvlJc w:val="left"/>
      <w:pPr>
        <w:ind w:left="800" w:hanging="36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6662F61"/>
    <w:multiLevelType w:val="singleLevel"/>
    <w:tmpl w:val="36662F61"/>
    <w:lvl w:ilvl="0">
      <w:start w:val="1"/>
      <w:numFmt w:val="decimal"/>
      <w:pStyle w:val="a"/>
      <w:lvlText w:val="%1."/>
      <w:lvlJc w:val="left"/>
      <w:pPr>
        <w:ind w:left="480" w:hanging="240"/>
      </w:pPr>
      <w:rPr>
        <w:rFonts w:hint="default"/>
      </w:rPr>
    </w:lvl>
  </w:abstractNum>
  <w:abstractNum w:abstractNumId="3" w15:restartNumberingAfterBreak="0">
    <w:nsid w:val="36756063"/>
    <w:multiLevelType w:val="multilevel"/>
    <w:tmpl w:val="36756063"/>
    <w:lvl w:ilvl="0">
      <w:start w:val="1"/>
      <w:numFmt w:val="decimal"/>
      <w:pStyle w:val="Head1"/>
      <w:lvlText w:val="%1"/>
      <w:lvlJc w:val="left"/>
      <w:pPr>
        <w:ind w:left="360" w:hanging="360"/>
      </w:pPr>
      <w:rPr>
        <w:rFonts w:hint="default"/>
      </w:rPr>
    </w:lvl>
    <w:lvl w:ilvl="1">
      <w:start w:val="1"/>
      <w:numFmt w:val="decimal"/>
      <w:pStyle w:val="Head2"/>
      <w:lvlText w:val="%1.%2"/>
      <w:lvlJc w:val="left"/>
      <w:pPr>
        <w:ind w:left="360" w:hanging="360"/>
      </w:pPr>
      <w:rPr>
        <w:rFonts w:hint="default"/>
        <w:color w:val="000000" w:themeColor="text1"/>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13379A5"/>
    <w:multiLevelType w:val="hybridMultilevel"/>
    <w:tmpl w:val="F1C481F8"/>
    <w:lvl w:ilvl="0" w:tplc="6F104210">
      <w:start w:val="1"/>
      <w:numFmt w:val="decimal"/>
      <w:lvlText w:val="Fig. %1."/>
      <w:lvlJc w:val="left"/>
      <w:pPr>
        <w:ind w:left="440" w:hanging="440"/>
      </w:pPr>
      <w:rPr>
        <w:rFonts w:ascii="Times New Roman" w:hAnsi="Times New Roman" w:cs="Times New Roman" w:hint="default"/>
        <w:b w:val="0"/>
        <w:bCs w:val="0"/>
        <w:i w:val="0"/>
        <w:iCs w:val="0"/>
        <w:color w:val="auto"/>
        <w:sz w:val="16"/>
        <w:szCs w:val="16"/>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3130CB7"/>
    <w:multiLevelType w:val="multilevel"/>
    <w:tmpl w:val="63130CB7"/>
    <w:lvl w:ilvl="0">
      <w:start w:val="1"/>
      <w:numFmt w:val="decimal"/>
      <w:pStyle w:val="Bibentry"/>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B74985"/>
    <w:multiLevelType w:val="hybridMultilevel"/>
    <w:tmpl w:val="790E81F2"/>
    <w:lvl w:ilvl="0" w:tplc="5F606642">
      <w:start w:val="1"/>
      <w:numFmt w:val="upperRoman"/>
      <w:pStyle w:val="tablehead"/>
      <w:lvlText w:val="TABLE %1. "/>
      <w:lvlJc w:val="left"/>
      <w:pPr>
        <w:ind w:left="440" w:hanging="440"/>
      </w:pPr>
      <w:rPr>
        <w:rFonts w:ascii="Times New Roman" w:hAnsi="Times New Roman" w:cs="Times New Roman" w:hint="default"/>
        <w:b w:val="0"/>
        <w:bCs w:val="0"/>
        <w:i w:val="0"/>
        <w:iCs w:val="0"/>
        <w:sz w:val="16"/>
        <w:szCs w:val="16"/>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75146466">
    <w:abstractNumId w:val="2"/>
  </w:num>
  <w:num w:numId="2" w16cid:durableId="812408657">
    <w:abstractNumId w:val="3"/>
  </w:num>
  <w:num w:numId="3" w16cid:durableId="2085643265">
    <w:abstractNumId w:val="5"/>
  </w:num>
  <w:num w:numId="4" w16cid:durableId="1204639537">
    <w:abstractNumId w:val="1"/>
  </w:num>
  <w:num w:numId="5" w16cid:durableId="2071030080">
    <w:abstractNumId w:val="3"/>
    <w:lvlOverride w:ilvl="0">
      <w:startOverride w:val="1"/>
    </w:lvlOverride>
    <w:lvlOverride w:ilvl="1">
      <w:startOverride w:val="1"/>
    </w:lvlOverride>
    <w:lvlOverride w:ilvl="2">
      <w:startOverride w:val="2"/>
    </w:lvlOverride>
  </w:num>
  <w:num w:numId="6" w16cid:durableId="673722532">
    <w:abstractNumId w:val="4"/>
  </w:num>
  <w:num w:numId="7" w16cid:durableId="1112090707">
    <w:abstractNumId w:val="6"/>
  </w:num>
  <w:num w:numId="8" w16cid:durableId="286741797">
    <w:abstractNumId w:val="0"/>
  </w:num>
  <w:num w:numId="9" w16cid:durableId="975601350">
    <w:abstractNumId w:val="5"/>
  </w:num>
  <w:num w:numId="10" w16cid:durableId="236405717">
    <w:abstractNumId w:val="5"/>
  </w:num>
  <w:num w:numId="11" w16cid:durableId="17839562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6636683">
    <w:abstractNumId w:val="3"/>
  </w:num>
  <w:num w:numId="13" w16cid:durableId="484862979">
    <w:abstractNumId w:val="3"/>
  </w:num>
  <w:num w:numId="14" w16cid:durableId="9580993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2421654">
    <w:abstractNumId w:val="3"/>
  </w:num>
  <w:num w:numId="16" w16cid:durableId="670329579">
    <w:abstractNumId w:val="5"/>
  </w:num>
  <w:num w:numId="17" w16cid:durableId="1831365765">
    <w:abstractNumId w:val="3"/>
  </w:num>
  <w:num w:numId="18" w16cid:durableId="12170852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720"/>
  <w:characterSpacingControl w:val="doNotCompress"/>
  <w:hdrShapeDefaults>
    <o:shapedefaults v:ext="edit" spidmax="2050" fillcolor="white">
      <v:fill color="white"/>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4B"/>
    <w:rsid w:val="CFD7F10E"/>
    <w:rsid w:val="FBFDD20D"/>
    <w:rsid w:val="000151BE"/>
    <w:rsid w:val="000159FB"/>
    <w:rsid w:val="00027C78"/>
    <w:rsid w:val="00054E0A"/>
    <w:rsid w:val="00064E02"/>
    <w:rsid w:val="00066EF5"/>
    <w:rsid w:val="00071715"/>
    <w:rsid w:val="00080C59"/>
    <w:rsid w:val="0008391F"/>
    <w:rsid w:val="0009314B"/>
    <w:rsid w:val="00096870"/>
    <w:rsid w:val="000A0E4F"/>
    <w:rsid w:val="000A4932"/>
    <w:rsid w:val="000B07AD"/>
    <w:rsid w:val="000C1C54"/>
    <w:rsid w:val="000D6541"/>
    <w:rsid w:val="000E7EC5"/>
    <w:rsid w:val="000F4DEF"/>
    <w:rsid w:val="000F4E3C"/>
    <w:rsid w:val="00103961"/>
    <w:rsid w:val="00104FE0"/>
    <w:rsid w:val="00105FA4"/>
    <w:rsid w:val="001104FE"/>
    <w:rsid w:val="00112DAE"/>
    <w:rsid w:val="00112E86"/>
    <w:rsid w:val="001142BA"/>
    <w:rsid w:val="00153628"/>
    <w:rsid w:val="0016354B"/>
    <w:rsid w:val="00165F9B"/>
    <w:rsid w:val="001754DD"/>
    <w:rsid w:val="00192567"/>
    <w:rsid w:val="00195E5F"/>
    <w:rsid w:val="00197E6E"/>
    <w:rsid w:val="001B378D"/>
    <w:rsid w:val="001B633D"/>
    <w:rsid w:val="001B639B"/>
    <w:rsid w:val="001C0259"/>
    <w:rsid w:val="001C6FC6"/>
    <w:rsid w:val="001D3CDD"/>
    <w:rsid w:val="0022111E"/>
    <w:rsid w:val="0023048B"/>
    <w:rsid w:val="00231DBC"/>
    <w:rsid w:val="00233B3C"/>
    <w:rsid w:val="0023752B"/>
    <w:rsid w:val="00240942"/>
    <w:rsid w:val="00245884"/>
    <w:rsid w:val="00253AA8"/>
    <w:rsid w:val="002601C2"/>
    <w:rsid w:val="00262D51"/>
    <w:rsid w:val="002706CC"/>
    <w:rsid w:val="00277C30"/>
    <w:rsid w:val="0029158F"/>
    <w:rsid w:val="00291E47"/>
    <w:rsid w:val="00292C1F"/>
    <w:rsid w:val="00293647"/>
    <w:rsid w:val="00296257"/>
    <w:rsid w:val="00296892"/>
    <w:rsid w:val="002A6529"/>
    <w:rsid w:val="002A72F7"/>
    <w:rsid w:val="002A72FB"/>
    <w:rsid w:val="002C37CC"/>
    <w:rsid w:val="002E204E"/>
    <w:rsid w:val="002F0EEB"/>
    <w:rsid w:val="002F58C9"/>
    <w:rsid w:val="002F5B40"/>
    <w:rsid w:val="00301043"/>
    <w:rsid w:val="003148CB"/>
    <w:rsid w:val="0031784F"/>
    <w:rsid w:val="003210D1"/>
    <w:rsid w:val="00340671"/>
    <w:rsid w:val="00364E6C"/>
    <w:rsid w:val="00371486"/>
    <w:rsid w:val="003756D0"/>
    <w:rsid w:val="00376339"/>
    <w:rsid w:val="00381ABC"/>
    <w:rsid w:val="003A253B"/>
    <w:rsid w:val="003B5837"/>
    <w:rsid w:val="003C451D"/>
    <w:rsid w:val="003D555B"/>
    <w:rsid w:val="00413438"/>
    <w:rsid w:val="0041687C"/>
    <w:rsid w:val="00417FA6"/>
    <w:rsid w:val="00427CF6"/>
    <w:rsid w:val="00451503"/>
    <w:rsid w:val="004522C5"/>
    <w:rsid w:val="00457C1D"/>
    <w:rsid w:val="0048225D"/>
    <w:rsid w:val="00495573"/>
    <w:rsid w:val="004C0E82"/>
    <w:rsid w:val="004D083C"/>
    <w:rsid w:val="004D2DD2"/>
    <w:rsid w:val="004E11D8"/>
    <w:rsid w:val="004F4517"/>
    <w:rsid w:val="00510380"/>
    <w:rsid w:val="00524F7C"/>
    <w:rsid w:val="00534F35"/>
    <w:rsid w:val="0054386A"/>
    <w:rsid w:val="00547F6A"/>
    <w:rsid w:val="00561F59"/>
    <w:rsid w:val="00582BEA"/>
    <w:rsid w:val="00583B03"/>
    <w:rsid w:val="00586CF3"/>
    <w:rsid w:val="00592169"/>
    <w:rsid w:val="005A6987"/>
    <w:rsid w:val="005B434B"/>
    <w:rsid w:val="005C3913"/>
    <w:rsid w:val="005F4471"/>
    <w:rsid w:val="00600F82"/>
    <w:rsid w:val="00615B62"/>
    <w:rsid w:val="00665DC8"/>
    <w:rsid w:val="0066787E"/>
    <w:rsid w:val="006769C0"/>
    <w:rsid w:val="00697B97"/>
    <w:rsid w:val="006A3923"/>
    <w:rsid w:val="006A6CA1"/>
    <w:rsid w:val="006D0359"/>
    <w:rsid w:val="006D3071"/>
    <w:rsid w:val="006D6E97"/>
    <w:rsid w:val="006E6CBE"/>
    <w:rsid w:val="006F6CF3"/>
    <w:rsid w:val="00720F9D"/>
    <w:rsid w:val="00737F1F"/>
    <w:rsid w:val="00753AF1"/>
    <w:rsid w:val="007865D2"/>
    <w:rsid w:val="0079721C"/>
    <w:rsid w:val="007B20D0"/>
    <w:rsid w:val="007B2575"/>
    <w:rsid w:val="007B36F5"/>
    <w:rsid w:val="007B5E8D"/>
    <w:rsid w:val="007C5D2C"/>
    <w:rsid w:val="007E20EF"/>
    <w:rsid w:val="007E5A8D"/>
    <w:rsid w:val="007F4B74"/>
    <w:rsid w:val="0081437E"/>
    <w:rsid w:val="008154F7"/>
    <w:rsid w:val="008174A1"/>
    <w:rsid w:val="00845391"/>
    <w:rsid w:val="00854A18"/>
    <w:rsid w:val="00857C62"/>
    <w:rsid w:val="00862DFB"/>
    <w:rsid w:val="00876427"/>
    <w:rsid w:val="00887070"/>
    <w:rsid w:val="00896D88"/>
    <w:rsid w:val="008A49E3"/>
    <w:rsid w:val="008A6598"/>
    <w:rsid w:val="008A6969"/>
    <w:rsid w:val="008B6B1C"/>
    <w:rsid w:val="008C0AC9"/>
    <w:rsid w:val="008D14C0"/>
    <w:rsid w:val="008D3BFD"/>
    <w:rsid w:val="00900903"/>
    <w:rsid w:val="00906DCC"/>
    <w:rsid w:val="00920182"/>
    <w:rsid w:val="00920D09"/>
    <w:rsid w:val="009240FA"/>
    <w:rsid w:val="009401F2"/>
    <w:rsid w:val="0094549E"/>
    <w:rsid w:val="00955D0F"/>
    <w:rsid w:val="009641B8"/>
    <w:rsid w:val="00966052"/>
    <w:rsid w:val="009660E7"/>
    <w:rsid w:val="009B6CF9"/>
    <w:rsid w:val="009B76D7"/>
    <w:rsid w:val="009E7E62"/>
    <w:rsid w:val="009F232A"/>
    <w:rsid w:val="009F684F"/>
    <w:rsid w:val="009F7D56"/>
    <w:rsid w:val="00A142D5"/>
    <w:rsid w:val="00A1775D"/>
    <w:rsid w:val="00A27A9F"/>
    <w:rsid w:val="00A311D5"/>
    <w:rsid w:val="00A3685D"/>
    <w:rsid w:val="00A55475"/>
    <w:rsid w:val="00A6011A"/>
    <w:rsid w:val="00A814ED"/>
    <w:rsid w:val="00A93B88"/>
    <w:rsid w:val="00AC24B9"/>
    <w:rsid w:val="00AC3809"/>
    <w:rsid w:val="00AC613B"/>
    <w:rsid w:val="00AD6C5E"/>
    <w:rsid w:val="00AE703E"/>
    <w:rsid w:val="00AE7FB8"/>
    <w:rsid w:val="00AF5390"/>
    <w:rsid w:val="00B2536D"/>
    <w:rsid w:val="00B33594"/>
    <w:rsid w:val="00B34A1F"/>
    <w:rsid w:val="00B35611"/>
    <w:rsid w:val="00B4773F"/>
    <w:rsid w:val="00B537E8"/>
    <w:rsid w:val="00B54B32"/>
    <w:rsid w:val="00B73912"/>
    <w:rsid w:val="00B75E77"/>
    <w:rsid w:val="00B819C4"/>
    <w:rsid w:val="00B90D3F"/>
    <w:rsid w:val="00B923C9"/>
    <w:rsid w:val="00BA67C6"/>
    <w:rsid w:val="00BB3A6B"/>
    <w:rsid w:val="00BC2D86"/>
    <w:rsid w:val="00BC2E20"/>
    <w:rsid w:val="00BD04E6"/>
    <w:rsid w:val="00BD386F"/>
    <w:rsid w:val="00BF1C24"/>
    <w:rsid w:val="00BF3724"/>
    <w:rsid w:val="00BF48AE"/>
    <w:rsid w:val="00BF6C2D"/>
    <w:rsid w:val="00C03AD6"/>
    <w:rsid w:val="00C17A15"/>
    <w:rsid w:val="00C30F78"/>
    <w:rsid w:val="00C34950"/>
    <w:rsid w:val="00C5530A"/>
    <w:rsid w:val="00C630EF"/>
    <w:rsid w:val="00C63EAF"/>
    <w:rsid w:val="00C66E2F"/>
    <w:rsid w:val="00C72BA7"/>
    <w:rsid w:val="00C871E6"/>
    <w:rsid w:val="00C95D53"/>
    <w:rsid w:val="00C96BE8"/>
    <w:rsid w:val="00CB4C73"/>
    <w:rsid w:val="00CD6400"/>
    <w:rsid w:val="00CE775F"/>
    <w:rsid w:val="00CF16F6"/>
    <w:rsid w:val="00CF324D"/>
    <w:rsid w:val="00D07298"/>
    <w:rsid w:val="00D12284"/>
    <w:rsid w:val="00D144E7"/>
    <w:rsid w:val="00D177A4"/>
    <w:rsid w:val="00D24B9D"/>
    <w:rsid w:val="00D52753"/>
    <w:rsid w:val="00D800ED"/>
    <w:rsid w:val="00D851E5"/>
    <w:rsid w:val="00DA1CE2"/>
    <w:rsid w:val="00DC3FD1"/>
    <w:rsid w:val="00E037CD"/>
    <w:rsid w:val="00E07859"/>
    <w:rsid w:val="00E11C12"/>
    <w:rsid w:val="00E21907"/>
    <w:rsid w:val="00E313DC"/>
    <w:rsid w:val="00E31F83"/>
    <w:rsid w:val="00E55E8D"/>
    <w:rsid w:val="00E5796F"/>
    <w:rsid w:val="00E64764"/>
    <w:rsid w:val="00E67691"/>
    <w:rsid w:val="00E75A84"/>
    <w:rsid w:val="00E8234D"/>
    <w:rsid w:val="00E91638"/>
    <w:rsid w:val="00E92194"/>
    <w:rsid w:val="00E9669C"/>
    <w:rsid w:val="00EA1015"/>
    <w:rsid w:val="00EA2618"/>
    <w:rsid w:val="00EC1AF9"/>
    <w:rsid w:val="00EC4901"/>
    <w:rsid w:val="00ED6BD0"/>
    <w:rsid w:val="00EE532C"/>
    <w:rsid w:val="00EF1A50"/>
    <w:rsid w:val="00EF5BB9"/>
    <w:rsid w:val="00F07897"/>
    <w:rsid w:val="00F15E82"/>
    <w:rsid w:val="00F34271"/>
    <w:rsid w:val="00F46728"/>
    <w:rsid w:val="00F46B7A"/>
    <w:rsid w:val="00F570F1"/>
    <w:rsid w:val="00F6354E"/>
    <w:rsid w:val="00F638A6"/>
    <w:rsid w:val="00F63D73"/>
    <w:rsid w:val="00F94247"/>
    <w:rsid w:val="00FB1075"/>
    <w:rsid w:val="00FB10BC"/>
    <w:rsid w:val="00FD21F1"/>
    <w:rsid w:val="00FD417D"/>
    <w:rsid w:val="00FD714E"/>
    <w:rsid w:val="00FE1AB5"/>
    <w:rsid w:val="00FF73FB"/>
    <w:rsid w:val="6E40D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0D786B8B"/>
  <w15:docId w15:val="{55C40A43-3995-4958-8A2C-E84CA279A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60" w:line="259" w:lineRule="auto"/>
    </w:pPr>
    <w:rPr>
      <w:sz w:val="22"/>
      <w:szCs w:val="22"/>
      <w:lang w:eastAsia="en-US"/>
    </w:rPr>
  </w:style>
  <w:style w:type="paragraph" w:styleId="1">
    <w:name w:val="heading 1"/>
    <w:basedOn w:val="a0"/>
    <w:next w:val="a0"/>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endnote text"/>
    <w:basedOn w:val="a0"/>
    <w:link w:val="a5"/>
    <w:uiPriority w:val="99"/>
    <w:semiHidden/>
    <w:unhideWhenUsed/>
    <w:pPr>
      <w:snapToGrid w:val="0"/>
    </w:pPr>
  </w:style>
  <w:style w:type="paragraph" w:styleId="a6">
    <w:name w:val="footer"/>
    <w:basedOn w:val="a0"/>
    <w:link w:val="a7"/>
    <w:uiPriority w:val="99"/>
    <w:unhideWhenUsed/>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paragraph" w:styleId="a8">
    <w:name w:val="header"/>
    <w:basedOn w:val="a0"/>
    <w:link w:val="a9"/>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a">
    <w:name w:val="Subtitle"/>
    <w:basedOn w:val="a0"/>
    <w:next w:val="a0"/>
    <w:link w:val="ab"/>
    <w:qFormat/>
    <w:pPr>
      <w:spacing w:after="360" w:line="333" w:lineRule="atLeast"/>
    </w:pPr>
    <w:rPr>
      <w:rFonts w:ascii="Linux Biolinum O" w:eastAsia="MS Gothic" w:hAnsi="Linux Biolinum O" w:cs="Linux Biolinum O"/>
      <w:iCs/>
      <w:sz w:val="18"/>
      <w:szCs w:val="24"/>
    </w:rPr>
  </w:style>
  <w:style w:type="paragraph" w:styleId="ac">
    <w:name w:val="footnote text"/>
    <w:basedOn w:val="a0"/>
    <w:link w:val="ad"/>
    <w:uiPriority w:val="99"/>
    <w:semiHidden/>
    <w:unhideWhenUsed/>
    <w:pPr>
      <w:snapToGrid w:val="0"/>
    </w:pPr>
    <w:rPr>
      <w:sz w:val="18"/>
      <w:szCs w:val="18"/>
    </w:rPr>
  </w:style>
  <w:style w:type="table" w:styleId="ae">
    <w:name w:val="Table Grid"/>
    <w:basedOn w:val="a2"/>
    <w:uiPriority w:val="59"/>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ndnote reference"/>
    <w:basedOn w:val="a1"/>
    <w:uiPriority w:val="99"/>
    <w:semiHidden/>
    <w:unhideWhenUsed/>
    <w:rPr>
      <w:vertAlign w:val="superscript"/>
    </w:rPr>
  </w:style>
  <w:style w:type="character" w:styleId="af0">
    <w:name w:val="Hyperlink"/>
    <w:rPr>
      <w:rFonts w:ascii="Linux Libertine O" w:hAnsi="Linux Libertine O" w:cs="Linux Libertine O" w:hint="default"/>
      <w:color w:val="0000FF"/>
      <w:u w:val="single"/>
    </w:rPr>
  </w:style>
  <w:style w:type="character" w:styleId="af1">
    <w:name w:val="footnote reference"/>
    <w:basedOn w:val="a1"/>
    <w:uiPriority w:val="99"/>
    <w:semiHidden/>
    <w:unhideWhenUsed/>
    <w:rPr>
      <w:vertAlign w:val="superscript"/>
    </w:rPr>
  </w:style>
  <w:style w:type="character" w:customStyle="1" w:styleId="FigureCaptionChar">
    <w:name w:val="FigureCaption Char"/>
    <w:link w:val="FigureCaption"/>
    <w:locked/>
    <w:rPr>
      <w:rFonts w:ascii="Linux Biolinum O" w:eastAsia="Cambria" w:hAnsi="Linux Biolinum O" w:cs="Linux Biolinum O"/>
      <w:sz w:val="16"/>
      <w:lang w:eastAsia="ja-JP"/>
    </w:rPr>
  </w:style>
  <w:style w:type="paragraph" w:customStyle="1" w:styleId="FigureCaption">
    <w:name w:val="FigureCaption"/>
    <w:link w:val="FigureCaptionChar"/>
    <w:pPr>
      <w:keepNext/>
      <w:spacing w:before="60" w:after="180" w:line="200" w:lineRule="atLeast"/>
      <w:jc w:val="center"/>
    </w:pPr>
    <w:rPr>
      <w:rFonts w:ascii="Linux Biolinum O" w:eastAsia="Cambria" w:hAnsi="Linux Biolinum O" w:cs="Linux Biolinum O"/>
      <w:sz w:val="16"/>
      <w:szCs w:val="22"/>
      <w:lang w:eastAsia="ja-JP"/>
    </w:rPr>
  </w:style>
  <w:style w:type="paragraph" w:customStyle="1" w:styleId="Image">
    <w:name w:val="Image"/>
    <w:basedOn w:val="a0"/>
    <w:pPr>
      <w:keepNext/>
      <w:spacing w:after="200" w:line="225" w:lineRule="atLeast"/>
      <w:jc w:val="center"/>
    </w:pPr>
    <w:rPr>
      <w:rFonts w:ascii="Linux Libertine O" w:eastAsia="Cambria" w:hAnsi="Linux Libertine O" w:cs="Linux Libertine O"/>
      <w:sz w:val="18"/>
      <w:szCs w:val="24"/>
    </w:rPr>
  </w:style>
  <w:style w:type="paragraph" w:styleId="a">
    <w:name w:val="List Paragraph"/>
    <w:qFormat/>
    <w:pPr>
      <w:numPr>
        <w:numId w:val="1"/>
      </w:numPr>
      <w:shd w:val="clear" w:color="auto" w:fill="FFFFFF"/>
      <w:tabs>
        <w:tab w:val="left" w:pos="480"/>
      </w:tabs>
      <w:spacing w:before="120" w:after="120" w:line="270" w:lineRule="atLeast"/>
      <w:contextualSpacing/>
      <w:jc w:val="both"/>
    </w:pPr>
    <w:rPr>
      <w:rFonts w:ascii="Linux Libertine O" w:eastAsia="Cambria" w:hAnsi="Linux Libertine O" w:cs="Linux Libertine O"/>
      <w:sz w:val="18"/>
      <w:lang w:eastAsia="en-US"/>
    </w:rPr>
  </w:style>
  <w:style w:type="paragraph" w:customStyle="1" w:styleId="Head1">
    <w:name w:val="Head1"/>
    <w:basedOn w:val="1"/>
    <w:next w:val="Para"/>
    <w:qFormat/>
    <w:pPr>
      <w:numPr>
        <w:numId w:val="2"/>
      </w:numPr>
      <w:tabs>
        <w:tab w:val="left" w:pos="240"/>
        <w:tab w:val="left" w:pos="36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Para">
    <w:name w:val="Para"/>
    <w:basedOn w:val="a0"/>
    <w:next w:val="ParaContinue"/>
    <w:pPr>
      <w:spacing w:after="0" w:line="270" w:lineRule="atLeast"/>
      <w:ind w:firstLine="240"/>
      <w:jc w:val="both"/>
    </w:pPr>
    <w:rPr>
      <w:rFonts w:ascii="Linux Libertine O" w:eastAsia="Cambria" w:hAnsi="Linux Libertine O" w:cs="Linux Libertine O"/>
      <w:sz w:val="18"/>
      <w:szCs w:val="24"/>
      <w:lang w:eastAsia="ja-JP"/>
    </w:rPr>
  </w:style>
  <w:style w:type="paragraph" w:customStyle="1" w:styleId="ParaContinue">
    <w:name w:val="ParaContinue"/>
    <w:basedOn w:val="a0"/>
    <w:link w:val="ParaContinueChar"/>
    <w:pPr>
      <w:spacing w:after="0" w:line="270" w:lineRule="atLeast"/>
      <w:ind w:firstLine="240"/>
      <w:jc w:val="both"/>
    </w:pPr>
    <w:rPr>
      <w:rFonts w:ascii="Linux Libertine O" w:hAnsi="Linux Libertine O" w:cs="Linux Libertine O"/>
      <w:sz w:val="18"/>
      <w:szCs w:val="24"/>
      <w:lang w:eastAsia="ja-JP"/>
    </w:rPr>
  </w:style>
  <w:style w:type="paragraph" w:customStyle="1" w:styleId="Head2">
    <w:name w:val="Head2"/>
    <w:basedOn w:val="2"/>
    <w:next w:val="Para"/>
    <w:qFormat/>
    <w:pPr>
      <w:numPr>
        <w:ilvl w:val="1"/>
        <w:numId w:val="2"/>
      </w:numPr>
      <w:tabs>
        <w:tab w:val="left" w:pos="360"/>
      </w:tabs>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qFormat/>
    <w:pPr>
      <w:keepNext/>
      <w:spacing w:before="240" w:after="60" w:line="225" w:lineRule="atLeast"/>
    </w:pPr>
    <w:rPr>
      <w:rFonts w:ascii="Linux Biolinum O" w:eastAsia="MS Mincho" w:hAnsi="Linux Biolinum O" w:cs="Linux Biolinum O"/>
      <w:b/>
      <w:i/>
      <w:sz w:val="18"/>
      <w:lang w:eastAsia="en-US"/>
    </w:rPr>
  </w:style>
  <w:style w:type="character" w:customStyle="1" w:styleId="ab">
    <w:name w:val="副标题 字符"/>
    <w:basedOn w:val="a1"/>
    <w:link w:val="aa"/>
    <w:rPr>
      <w:rFonts w:ascii="Linux Biolinum O" w:eastAsia="MS Gothic" w:hAnsi="Linux Biolinum O" w:cs="Linux Biolinum O"/>
      <w:iCs/>
      <w:sz w:val="18"/>
      <w:szCs w:val="24"/>
    </w:rPr>
  </w:style>
  <w:style w:type="paragraph" w:customStyle="1" w:styleId="Abstract">
    <w:name w:val="Abstract"/>
    <w:pPr>
      <w:spacing w:before="200" w:line="240" w:lineRule="atLeast"/>
      <w:jc w:val="both"/>
    </w:pPr>
    <w:rPr>
      <w:rFonts w:ascii="Linux Libertine O" w:eastAsia="Cambria" w:hAnsi="Linux Libertine O" w:cs="Linux Libertine O"/>
      <w:sz w:val="16"/>
      <w:szCs w:val="22"/>
      <w:lang w:eastAsia="en-US"/>
    </w:rPr>
  </w:style>
  <w:style w:type="paragraph" w:customStyle="1" w:styleId="Affiliation">
    <w:name w:val="Affiliation"/>
    <w:pPr>
      <w:spacing w:before="60" w:line="297" w:lineRule="atLeast"/>
    </w:pPr>
    <w:rPr>
      <w:rFonts w:ascii="Linux Libertine O" w:eastAsia="Times New Roman" w:hAnsi="Linux Libertine O" w:cs="Linux Libertine O"/>
      <w:sz w:val="18"/>
      <w:lang w:eastAsia="en-US"/>
    </w:rPr>
  </w:style>
  <w:style w:type="paragraph" w:customStyle="1" w:styleId="Titledocument">
    <w:name w:val="Title_document"/>
    <w:link w:val="TitledocumentChar"/>
    <w:qFormat/>
    <w:pPr>
      <w:spacing w:line="360" w:lineRule="atLeast"/>
    </w:pPr>
    <w:rPr>
      <w:rFonts w:ascii="Linux Biolinum O" w:eastAsia="Times New Roman" w:hAnsi="Linux Biolinum O" w:cs="Linux Biolinum O"/>
      <w:b/>
      <w:bCs/>
      <w:sz w:val="24"/>
      <w:lang w:eastAsia="en-US"/>
    </w:rPr>
  </w:style>
  <w:style w:type="paragraph" w:customStyle="1" w:styleId="ACMRefHead">
    <w:name w:val="ACMRefHead"/>
    <w:basedOn w:val="Titledocument"/>
    <w:link w:val="ACMRefHeadChar"/>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a1"/>
    <w:link w:val="Titledocument"/>
    <w:rPr>
      <w:rFonts w:ascii="Linux Biolinum O" w:eastAsia="Times New Roman" w:hAnsi="Linux Biolinum O" w:cs="Linux Biolinum O"/>
      <w:b/>
      <w:bCs/>
      <w:sz w:val="24"/>
      <w:szCs w:val="20"/>
    </w:rPr>
  </w:style>
  <w:style w:type="character" w:customStyle="1" w:styleId="AckHeadChar">
    <w:name w:val="AckHead Char"/>
    <w:link w:val="AckHead"/>
    <w:locked/>
    <w:rPr>
      <w:rFonts w:ascii="Linux Biolinum O" w:eastAsia="Cambria" w:hAnsi="Linux Biolinum O" w:cs="Linux Biolinum O"/>
      <w:b/>
      <w:sz w:val="18"/>
      <w:lang w:eastAsia="ja-JP"/>
    </w:rPr>
  </w:style>
  <w:style w:type="paragraph" w:customStyle="1" w:styleId="AckHead">
    <w:name w:val="AckHead"/>
    <w:next w:val="AckPara"/>
    <w:link w:val="AckHeadChar"/>
    <w:pPr>
      <w:keepNext/>
      <w:spacing w:before="240" w:after="60" w:line="225" w:lineRule="atLeast"/>
    </w:pPr>
    <w:rPr>
      <w:rFonts w:ascii="Linux Biolinum O" w:eastAsia="Cambria" w:hAnsi="Linux Biolinum O" w:cs="Linux Biolinum O"/>
      <w:b/>
      <w:sz w:val="18"/>
      <w:szCs w:val="22"/>
      <w:lang w:eastAsia="ja-JP"/>
    </w:rPr>
  </w:style>
  <w:style w:type="paragraph" w:customStyle="1" w:styleId="AckPara">
    <w:name w:val="AckPara"/>
    <w:basedOn w:val="a0"/>
    <w:next w:val="ParaContinue"/>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pPr>
      <w:keepNext/>
      <w:tabs>
        <w:tab w:val="left" w:pos="240"/>
      </w:tabs>
      <w:spacing w:before="320" w:after="60" w:line="225" w:lineRule="atLeast"/>
    </w:pPr>
    <w:rPr>
      <w:rFonts w:ascii="Linux Biolinum O" w:eastAsia="Times New Roman" w:hAnsi="Linux Biolinum O" w:cs="Linux Biolinum O"/>
      <w:b/>
      <w:caps/>
      <w:sz w:val="18"/>
      <w:lang w:eastAsia="en-US"/>
    </w:rPr>
  </w:style>
  <w:style w:type="paragraph" w:customStyle="1" w:styleId="AppendixH2">
    <w:name w:val="AppendixH2"/>
    <w:next w:val="Para"/>
    <w:pPr>
      <w:keepNext/>
      <w:autoSpaceDE w:val="0"/>
      <w:autoSpaceDN w:val="0"/>
      <w:adjustRightInd w:val="0"/>
      <w:spacing w:before="240" w:after="60" w:line="225" w:lineRule="atLeast"/>
    </w:pPr>
    <w:rPr>
      <w:rFonts w:ascii="Linux Biolinum O" w:eastAsia="Cambria" w:hAnsi="Linux Biolinum O" w:cs="Linux Biolinum O"/>
      <w:b/>
      <w:sz w:val="18"/>
      <w:szCs w:val="24"/>
      <w:lang w:eastAsia="en-US"/>
    </w:rPr>
  </w:style>
  <w:style w:type="paragraph" w:customStyle="1" w:styleId="AppendixH3">
    <w:name w:val="AppendixH3"/>
    <w:next w:val="Para"/>
    <w:pPr>
      <w:keepNext/>
      <w:autoSpaceDE w:val="0"/>
      <w:autoSpaceDN w:val="0"/>
      <w:adjustRightInd w:val="0"/>
      <w:spacing w:before="240" w:line="225" w:lineRule="atLeast"/>
    </w:pPr>
    <w:rPr>
      <w:rFonts w:ascii="Linux Biolinum O" w:eastAsia="Cambria" w:hAnsi="Linux Biolinum O" w:cs="Linux Biolinum O"/>
      <w:i/>
      <w:sz w:val="18"/>
      <w:szCs w:val="24"/>
      <w:lang w:eastAsia="en-US"/>
    </w:rPr>
  </w:style>
  <w:style w:type="paragraph" w:customStyle="1" w:styleId="AuthNotes">
    <w:name w:val="AuthNotes"/>
    <w:pPr>
      <w:spacing w:line="140" w:lineRule="atLeast"/>
      <w:jc w:val="both"/>
    </w:pPr>
    <w:rPr>
      <w:rFonts w:ascii="Linux Libertine O" w:eastAsia="Cambria" w:hAnsi="Linux Libertine O" w:cs="Linux Libertine O"/>
      <w:sz w:val="14"/>
      <w:szCs w:val="22"/>
      <w:lang w:eastAsia="en-US"/>
    </w:rPr>
  </w:style>
  <w:style w:type="character" w:customStyle="1" w:styleId="AuthorsChar">
    <w:name w:val="Authors Char"/>
    <w:link w:val="Authors"/>
    <w:locked/>
    <w:rPr>
      <w:rFonts w:ascii="Linux Biolinum O" w:eastAsia="Cambria" w:hAnsi="Linux Biolinum O" w:cs="Linux Biolinum O"/>
      <w:caps/>
      <w:lang w:eastAsia="ja-JP"/>
    </w:rPr>
  </w:style>
  <w:style w:type="paragraph" w:customStyle="1" w:styleId="Authors">
    <w:name w:val="Authors"/>
    <w:link w:val="AuthorsChar"/>
    <w:pPr>
      <w:spacing w:before="60" w:line="320" w:lineRule="atLeast"/>
    </w:pPr>
    <w:rPr>
      <w:rFonts w:ascii="Linux Biolinum O" w:eastAsia="Cambria" w:hAnsi="Linux Biolinum O" w:cs="Linux Biolinum O"/>
      <w:caps/>
      <w:sz w:val="22"/>
      <w:szCs w:val="22"/>
      <w:lang w:eastAsia="ja-JP"/>
    </w:rPr>
  </w:style>
  <w:style w:type="character" w:customStyle="1" w:styleId="DisplayFormulaChar">
    <w:name w:val="DisplayFormula Char"/>
    <w:link w:val="DisplayFormula"/>
    <w:locked/>
    <w:rPr>
      <w:rFonts w:ascii="Linux Libertine O" w:eastAsia="Cambria" w:hAnsi="Linux Libertine O" w:cs="Linux Libertine O"/>
      <w:sz w:val="18"/>
      <w:lang w:eastAsia="ja-JP"/>
    </w:rPr>
  </w:style>
  <w:style w:type="paragraph" w:customStyle="1" w:styleId="DisplayFormula">
    <w:name w:val="DisplayFormula"/>
    <w:link w:val="DisplayFormulaChar"/>
    <w:pPr>
      <w:spacing w:before="120" w:after="180" w:line="270" w:lineRule="atLeast"/>
      <w:jc w:val="center"/>
    </w:pPr>
    <w:rPr>
      <w:rFonts w:ascii="Linux Libertine O" w:eastAsia="Cambria" w:hAnsi="Linux Libertine O" w:cs="Linux Libertine O"/>
      <w:sz w:val="18"/>
      <w:szCs w:val="22"/>
      <w:lang w:eastAsia="ja-JP"/>
    </w:rPr>
  </w:style>
  <w:style w:type="paragraph" w:customStyle="1" w:styleId="KeyWordHead">
    <w:name w:val="KeyWordHead"/>
    <w:link w:val="KeyWordHeadchar"/>
    <w:pPr>
      <w:spacing w:before="140" w:line="240" w:lineRule="atLeast"/>
    </w:pPr>
    <w:rPr>
      <w:rFonts w:ascii="Linux Libertine O" w:eastAsia="Cambria" w:hAnsi="Linux Libertine O" w:cs="Linux Libertine O"/>
      <w:sz w:val="16"/>
      <w:szCs w:val="22"/>
      <w:lang w:eastAsia="en-US"/>
    </w:rPr>
  </w:style>
  <w:style w:type="paragraph" w:customStyle="1" w:styleId="KeyWords">
    <w:name w:val="KeyWords"/>
    <w:basedOn w:val="a0"/>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pPr>
      <w:keepNext/>
      <w:spacing w:before="300" w:after="60" w:line="225" w:lineRule="atLeast"/>
    </w:pPr>
    <w:rPr>
      <w:rFonts w:ascii="Linux Biolinum O" w:eastAsia="Cambria" w:hAnsi="Linux Biolinum O" w:cs="Linux Biolinum O"/>
      <w:b/>
      <w:sz w:val="18"/>
      <w:szCs w:val="22"/>
      <w:lang w:eastAsia="en-US"/>
    </w:rPr>
  </w:style>
  <w:style w:type="paragraph" w:customStyle="1" w:styleId="Statements">
    <w:name w:val="Statements"/>
    <w:basedOn w:val="a0"/>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
    <w:locked/>
    <w:rPr>
      <w:rFonts w:ascii="Linux Biolinum O" w:eastAsia="Cambria" w:hAnsi="Linux Biolinum O" w:cs="Linux Biolinum O"/>
      <w:sz w:val="16"/>
      <w:szCs w:val="24"/>
      <w:lang w:eastAsia="ja-JP"/>
    </w:rPr>
  </w:style>
  <w:style w:type="paragraph" w:customStyle="1" w:styleId="TableCaption">
    <w:name w:val="TableCaption"/>
    <w:link w:val="TableCaptionChar"/>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locked/>
    <w:rPr>
      <w:rFonts w:ascii="Linux Libertine O" w:eastAsia="Cambria" w:hAnsi="Linux Libertine O" w:cs="Linux Libertine O"/>
      <w:sz w:val="18"/>
      <w:szCs w:val="24"/>
      <w:lang w:eastAsia="ja-JP"/>
    </w:rPr>
  </w:style>
  <w:style w:type="paragraph" w:customStyle="1" w:styleId="DisplayFormulaUnnum">
    <w:name w:val="DisplayFormulaUnnum"/>
    <w:basedOn w:val="a0"/>
    <w:link w:val="DisplayFormulaUnnumChar"/>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locked/>
    <w:rPr>
      <w:rFonts w:ascii="Linux Libertine O" w:hAnsi="Linux Libertine O" w:cs="Linux Libertine O"/>
      <w:sz w:val="18"/>
      <w:szCs w:val="24"/>
      <w:lang w:eastAsia="ja-JP"/>
    </w:rPr>
  </w:style>
  <w:style w:type="paragraph" w:customStyle="1" w:styleId="Bibentry">
    <w:name w:val="Bib_entry"/>
    <w:basedOn w:val="a0"/>
    <w:pPr>
      <w:widowControl w:val="0"/>
      <w:numPr>
        <w:numId w:val="3"/>
      </w:numPr>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a0"/>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a0"/>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pPr>
      <w:jc w:val="both"/>
    </w:pPr>
    <w:rPr>
      <w:b/>
    </w:rPr>
  </w:style>
  <w:style w:type="paragraph" w:customStyle="1" w:styleId="CCSDescription">
    <w:name w:val="CCSDescription"/>
    <w:basedOn w:val="KeyWords"/>
    <w:rPr>
      <w:b/>
    </w:rPr>
  </w:style>
  <w:style w:type="paragraph" w:customStyle="1" w:styleId="AlgorithmCaption">
    <w:name w:val="AlgorithmCaption"/>
    <w:basedOn w:val="a0"/>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rPr>
      <w:rFonts w:ascii="Linux Libertine O" w:hAnsi="Linux Libertine O" w:cs="Linux Libertine O" w:hint="default"/>
      <w:color w:val="9900FF"/>
    </w:rPr>
  </w:style>
  <w:style w:type="character" w:customStyle="1" w:styleId="a7">
    <w:name w:val="页脚 字符"/>
    <w:basedOn w:val="a1"/>
    <w:link w:val="a6"/>
    <w:uiPriority w:val="99"/>
    <w:rPr>
      <w:rFonts w:ascii="Linux Libertine O" w:eastAsia="MS Mincho" w:hAnsi="Linux Libertine O" w:cs="Linux Libertine O"/>
      <w:sz w:val="18"/>
      <w:szCs w:val="24"/>
      <w:lang w:eastAsia="ja-JP"/>
    </w:rPr>
  </w:style>
  <w:style w:type="paragraph" w:customStyle="1" w:styleId="ACMRef">
    <w:name w:val="ACMRef"/>
    <w:basedOn w:val="Titledocument"/>
    <w:link w:val="ACMRefChar"/>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rPr>
      <w:rFonts w:ascii="Linux Libertine O" w:eastAsia="Times New Roman" w:hAnsi="Linux Libertine O" w:cs="Linux Libertine O"/>
      <w:b w:val="0"/>
      <w:bCs/>
      <w:sz w:val="16"/>
      <w:szCs w:val="20"/>
    </w:rPr>
  </w:style>
  <w:style w:type="character" w:customStyle="1" w:styleId="CCSHeadchar">
    <w:name w:val="CCSHead char"/>
    <w:basedOn w:val="a1"/>
    <w:link w:val="CCSHead"/>
    <w:rPr>
      <w:rFonts w:ascii="Linux Libertine O" w:eastAsia="Cambria" w:hAnsi="Linux Libertine O" w:cs="Linux Libertine O"/>
      <w:b/>
      <w:sz w:val="16"/>
    </w:rPr>
  </w:style>
  <w:style w:type="character" w:customStyle="1" w:styleId="KeyWordHeadchar">
    <w:name w:val="KeyWordHead char"/>
    <w:basedOn w:val="a1"/>
    <w:link w:val="KeyWordHead"/>
    <w:rPr>
      <w:rFonts w:ascii="Linux Libertine O" w:eastAsia="Cambria" w:hAnsi="Linux Libertine O" w:cs="Linux Libertine O"/>
      <w:sz w:val="16"/>
    </w:rPr>
  </w:style>
  <w:style w:type="paragraph" w:customStyle="1" w:styleId="TableCell">
    <w:name w:val="TableCell"/>
    <w:basedOn w:val="Para"/>
    <w:pPr>
      <w:spacing w:line="220" w:lineRule="atLeast"/>
    </w:pPr>
    <w:rPr>
      <w:sz w:val="16"/>
      <w:szCs w:val="16"/>
      <w:lang w:eastAsia="en-US"/>
    </w:rPr>
  </w:style>
  <w:style w:type="character" w:customStyle="1" w:styleId="Head3oldChar">
    <w:name w:val="Head3old Char"/>
    <w:basedOn w:val="a1"/>
    <w:link w:val="Head3old"/>
    <w:rPr>
      <w:rFonts w:ascii="Linux Biolinum O" w:eastAsia="MS Mincho" w:hAnsi="Linux Biolinum O" w:cs="Linux Biolinum O"/>
      <w:b/>
      <w:i/>
      <w:sz w:val="18"/>
      <w:szCs w:val="20"/>
    </w:rPr>
  </w:style>
  <w:style w:type="paragraph" w:customStyle="1" w:styleId="Head3">
    <w:name w:val="Head3"/>
    <w:basedOn w:val="Titledocument"/>
    <w:next w:val="Para"/>
    <w:link w:val="Head3Char"/>
    <w:qFormat/>
    <w:pPr>
      <w:keepNext/>
      <w:numPr>
        <w:ilvl w:val="2"/>
        <w:numId w:val="2"/>
      </w:numPr>
      <w:tabs>
        <w:tab w:val="left" w:pos="540"/>
      </w:tabs>
      <w:overflowPunct w:val="0"/>
      <w:spacing w:before="240" w:after="60" w:line="225" w:lineRule="atLeast"/>
      <w:jc w:val="both"/>
      <w:outlineLvl w:val="2"/>
    </w:pPr>
    <w:rPr>
      <w:b w:val="0"/>
      <w:i/>
      <w:sz w:val="18"/>
    </w:rPr>
  </w:style>
  <w:style w:type="character" w:customStyle="1" w:styleId="Parachar">
    <w:name w:val="Para char"/>
    <w:basedOn w:val="a1"/>
    <w:qFormat/>
    <w:rPr>
      <w:rFonts w:ascii="Linux Libertine O" w:hAnsi="Linux Libertine O" w:cs="Linux Libertine O"/>
      <w:i/>
      <w:sz w:val="18"/>
      <w:lang w:eastAsia="ja-JP"/>
    </w:rPr>
  </w:style>
  <w:style w:type="character" w:customStyle="1" w:styleId="Head3Char">
    <w:name w:val="Head3 Char"/>
    <w:basedOn w:val="TitledocumentChar"/>
    <w:link w:val="Head3"/>
    <w:rPr>
      <w:rFonts w:ascii="Linux Biolinum O" w:eastAsia="Times New Roman" w:hAnsi="Linux Biolinum O" w:cs="Linux Biolinum O"/>
      <w:b w:val="0"/>
      <w:bCs/>
      <w:i/>
      <w:sz w:val="18"/>
      <w:szCs w:val="20"/>
    </w:rPr>
  </w:style>
  <w:style w:type="character" w:customStyle="1" w:styleId="GrantSponsor">
    <w:name w:val="GrantSponsor"/>
    <w:rPr>
      <w:rFonts w:ascii="Linux Libertine O" w:hAnsi="Linux Libertine O" w:cs="Linux Libertine O" w:hint="default"/>
      <w:color w:val="666699"/>
    </w:rPr>
  </w:style>
  <w:style w:type="paragraph" w:customStyle="1" w:styleId="PostHeadPara">
    <w:name w:val="PostHeadPara"/>
    <w:basedOn w:val="Para"/>
    <w:qFormat/>
    <w:pPr>
      <w:ind w:firstLine="0"/>
    </w:pPr>
    <w:rPr>
      <w:lang w:eastAsia="en-US"/>
    </w:rPr>
  </w:style>
  <w:style w:type="character" w:customStyle="1" w:styleId="10">
    <w:name w:val="标题 1 字符"/>
    <w:basedOn w:val="a1"/>
    <w:link w:val="1"/>
    <w:uiPriority w:val="9"/>
    <w:rPr>
      <w:rFonts w:asciiTheme="majorHAnsi" w:eastAsiaTheme="majorEastAsia" w:hAnsiTheme="majorHAnsi" w:cstheme="majorBidi"/>
      <w:color w:val="2E74B5" w:themeColor="accent1" w:themeShade="BF"/>
      <w:sz w:val="32"/>
      <w:szCs w:val="32"/>
    </w:rPr>
  </w:style>
  <w:style w:type="character" w:customStyle="1" w:styleId="20">
    <w:name w:val="标题 2 字符"/>
    <w:basedOn w:val="a1"/>
    <w:link w:val="2"/>
    <w:uiPriority w:val="9"/>
    <w:semiHidden/>
    <w:rPr>
      <w:rFonts w:asciiTheme="majorHAnsi" w:eastAsiaTheme="majorEastAsia" w:hAnsiTheme="majorHAnsi" w:cstheme="majorBidi"/>
      <w:color w:val="2E74B5" w:themeColor="accent1" w:themeShade="BF"/>
      <w:sz w:val="26"/>
      <w:szCs w:val="26"/>
    </w:rPr>
  </w:style>
  <w:style w:type="character" w:customStyle="1" w:styleId="In-textcode">
    <w:name w:val="In-text code"/>
    <w:basedOn w:val="a1"/>
    <w:uiPriority w:val="1"/>
    <w:qFormat/>
    <w:rPr>
      <w:rFonts w:ascii="Courier New" w:hAnsi="Courier New"/>
    </w:rPr>
  </w:style>
  <w:style w:type="paragraph" w:customStyle="1" w:styleId="ShortTitle">
    <w:name w:val="Short Title"/>
    <w:basedOn w:val="Titledocument"/>
    <w:qFormat/>
    <w:rPr>
      <w:rFonts w:ascii="Linux Libertine" w:hAnsi="Linux Libertine"/>
      <w:b w:val="0"/>
      <w:sz w:val="20"/>
    </w:rPr>
  </w:style>
  <w:style w:type="paragraph" w:customStyle="1" w:styleId="ComputerCode">
    <w:name w:val="ComputerCode"/>
    <w:basedOn w:val="a0"/>
    <w:qFormat/>
    <w:pPr>
      <w:spacing w:before="60" w:after="60" w:line="360" w:lineRule="auto"/>
      <w:jc w:val="both"/>
    </w:pPr>
    <w:rPr>
      <w:rFonts w:ascii="Courier New" w:hAnsi="Courier New" w:cs="Linux Libertine"/>
      <w:sz w:val="16"/>
      <w14:ligatures w14:val="standard"/>
    </w:rPr>
  </w:style>
  <w:style w:type="paragraph" w:customStyle="1" w:styleId="Head4">
    <w:name w:val="Head4"/>
    <w:qFormat/>
    <w:pPr>
      <w:keepNext/>
      <w:numPr>
        <w:ilvl w:val="3"/>
        <w:numId w:val="2"/>
      </w:numPr>
      <w:spacing w:before="60" w:after="140"/>
    </w:pPr>
    <w:rPr>
      <w:rFonts w:ascii="Linux Biolinum" w:eastAsia="Times New Roman" w:hAnsi="Linux Biolinum" w:cs="Linux Biolinum"/>
      <w:i/>
      <w:sz w:val="24"/>
      <w:lang w:eastAsia="en-US"/>
    </w:rPr>
  </w:style>
  <w:style w:type="character" w:customStyle="1" w:styleId="TableFootnoteChar">
    <w:name w:val="TableFootnote Char"/>
    <w:link w:val="TableFootnote"/>
    <w:locked/>
    <w:rPr>
      <w:rFonts w:eastAsia="Cambria"/>
    </w:rPr>
  </w:style>
  <w:style w:type="paragraph" w:customStyle="1" w:styleId="TableFootnote">
    <w:name w:val="TableFootnote"/>
    <w:basedOn w:val="a0"/>
    <w:link w:val="TableFootnoteChar"/>
    <w:pPr>
      <w:spacing w:after="200" w:line="240" w:lineRule="auto"/>
    </w:pPr>
    <w:rPr>
      <w:rFonts w:eastAsia="Cambria"/>
    </w:rPr>
  </w:style>
  <w:style w:type="character" w:customStyle="1" w:styleId="a9">
    <w:name w:val="页眉 字符"/>
    <w:basedOn w:val="a1"/>
    <w:link w:val="a8"/>
    <w:uiPriority w:val="99"/>
    <w:qFormat/>
    <w:rPr>
      <w:sz w:val="18"/>
      <w:szCs w:val="18"/>
    </w:rPr>
  </w:style>
  <w:style w:type="character" w:customStyle="1" w:styleId="11">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rPr>
      <w:color w:val="605E5C"/>
      <w:shd w:val="clear" w:color="auto" w:fill="E1DFDD"/>
    </w:rPr>
  </w:style>
  <w:style w:type="character" w:customStyle="1" w:styleId="a5">
    <w:name w:val="尾注文本 字符"/>
    <w:basedOn w:val="a1"/>
    <w:link w:val="a4"/>
    <w:uiPriority w:val="99"/>
    <w:semiHidden/>
    <w:rPr>
      <w:sz w:val="22"/>
      <w:szCs w:val="22"/>
      <w:lang w:eastAsia="en-US"/>
    </w:rPr>
  </w:style>
  <w:style w:type="character" w:customStyle="1" w:styleId="ad">
    <w:name w:val="脚注文本 字符"/>
    <w:basedOn w:val="a1"/>
    <w:link w:val="ac"/>
    <w:uiPriority w:val="99"/>
    <w:semiHidden/>
    <w:rPr>
      <w:sz w:val="18"/>
      <w:szCs w:val="18"/>
      <w:lang w:eastAsia="en-US"/>
    </w:rPr>
  </w:style>
  <w:style w:type="character" w:styleId="af2">
    <w:name w:val="Unresolved Mention"/>
    <w:basedOn w:val="a1"/>
    <w:uiPriority w:val="99"/>
    <w:semiHidden/>
    <w:unhideWhenUsed/>
    <w:rsid w:val="00153628"/>
    <w:rPr>
      <w:color w:val="605E5C"/>
      <w:shd w:val="clear" w:color="auto" w:fill="E1DFDD"/>
    </w:rPr>
  </w:style>
  <w:style w:type="paragraph" w:styleId="af3">
    <w:name w:val="Body Text"/>
    <w:basedOn w:val="a0"/>
    <w:link w:val="af4"/>
    <w:rsid w:val="00293647"/>
    <w:pPr>
      <w:tabs>
        <w:tab w:val="left" w:pos="288"/>
      </w:tabs>
      <w:spacing w:after="120" w:line="228" w:lineRule="auto"/>
      <w:ind w:firstLine="288"/>
      <w:jc w:val="both"/>
    </w:pPr>
    <w:rPr>
      <w:rFonts w:ascii="Times New Roman" w:eastAsia="宋体" w:hAnsi="Times New Roman" w:cs="Times New Roman"/>
      <w:spacing w:val="-1"/>
      <w:sz w:val="20"/>
      <w:szCs w:val="20"/>
    </w:rPr>
  </w:style>
  <w:style w:type="character" w:customStyle="1" w:styleId="af4">
    <w:name w:val="正文文本 字符"/>
    <w:basedOn w:val="a1"/>
    <w:link w:val="af3"/>
    <w:rsid w:val="00293647"/>
    <w:rPr>
      <w:rFonts w:ascii="Times New Roman" w:eastAsia="宋体" w:hAnsi="Times New Roman" w:cs="Times New Roman"/>
      <w:spacing w:val="-1"/>
      <w:lang w:eastAsia="en-US"/>
    </w:rPr>
  </w:style>
  <w:style w:type="table" w:customStyle="1" w:styleId="210">
    <w:name w:val="无格式表格 21"/>
    <w:basedOn w:val="a2"/>
    <w:uiPriority w:val="42"/>
    <w:qFormat/>
    <w:rsid w:val="00B35611"/>
    <w:rPr>
      <w:rFonts w:ascii="Calibri" w:eastAsia="宋体" w:hAnsi="Calibri" w:cs="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blehead">
    <w:name w:val="table head"/>
    <w:rsid w:val="00B35611"/>
    <w:pPr>
      <w:numPr>
        <w:numId w:val="7"/>
      </w:numPr>
      <w:spacing w:before="240" w:after="120" w:line="216" w:lineRule="auto"/>
      <w:jc w:val="center"/>
    </w:pPr>
    <w:rPr>
      <w:rFonts w:ascii="Times New Roman" w:eastAsia="宋体" w:hAnsi="Times New Roman" w:cs="Times New Roman"/>
      <w:smallCaps/>
      <w:sz w:val="16"/>
      <w:szCs w:val="16"/>
      <w:lang w:eastAsia="en-US"/>
    </w:rPr>
  </w:style>
  <w:style w:type="paragraph" w:customStyle="1" w:styleId="references">
    <w:name w:val="references"/>
    <w:rsid w:val="00B35611"/>
    <w:pPr>
      <w:spacing w:after="50" w:line="180" w:lineRule="exact"/>
      <w:jc w:val="both"/>
    </w:pPr>
    <w:rPr>
      <w:rFonts w:ascii="Times New Roman" w:eastAsia="MS Mincho" w:hAnsi="Times New Roman" w:cs="Times New Roman"/>
      <w:sz w:val="16"/>
      <w:szCs w:val="16"/>
      <w:lang w:eastAsia="en-US"/>
    </w:rPr>
  </w:style>
  <w:style w:type="character" w:styleId="af5">
    <w:name w:val="Emphasis"/>
    <w:basedOn w:val="a1"/>
    <w:uiPriority w:val="20"/>
    <w:qFormat/>
    <w:rsid w:val="00B35611"/>
    <w:rPr>
      <w:i/>
      <w:iCs/>
    </w:rPr>
  </w:style>
  <w:style w:type="table" w:customStyle="1" w:styleId="12">
    <w:name w:val="网格型1"/>
    <w:basedOn w:val="a2"/>
    <w:next w:val="ae"/>
    <w:uiPriority w:val="39"/>
    <w:qFormat/>
    <w:rsid w:val="00753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Plain Table 2"/>
    <w:basedOn w:val="a2"/>
    <w:uiPriority w:val="42"/>
    <w:rsid w:val="00753A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6">
    <w:name w:val="Placeholder Text"/>
    <w:basedOn w:val="a1"/>
    <w:uiPriority w:val="99"/>
    <w:unhideWhenUsed/>
    <w:rsid w:val="00697B97"/>
    <w:rPr>
      <w:color w:val="808080"/>
    </w:rPr>
  </w:style>
  <w:style w:type="character" w:customStyle="1" w:styleId="Char">
    <w:name w:val="阮强正文 Char"/>
    <w:basedOn w:val="a1"/>
    <w:link w:val="af7"/>
    <w:qFormat/>
    <w:rsid w:val="00AE7FB8"/>
    <w:rPr>
      <w:rFonts w:ascii="宋体" w:hAnsi="宋体"/>
      <w:sz w:val="24"/>
      <w:szCs w:val="24"/>
    </w:rPr>
  </w:style>
  <w:style w:type="paragraph" w:customStyle="1" w:styleId="af7">
    <w:name w:val="阮强正文"/>
    <w:basedOn w:val="a0"/>
    <w:link w:val="Char"/>
    <w:qFormat/>
    <w:rsid w:val="00AE7FB8"/>
    <w:pPr>
      <w:widowControl w:val="0"/>
      <w:spacing w:after="0" w:line="360" w:lineRule="auto"/>
      <w:ind w:firstLineChars="200" w:firstLine="480"/>
      <w:jc w:val="both"/>
    </w:pPr>
    <w:rPr>
      <w:rFonts w:ascii="宋体" w:hAnsi="宋体"/>
      <w:sz w:val="24"/>
      <w:szCs w:val="24"/>
      <w:lang w:eastAsia="zh-CN"/>
    </w:rPr>
  </w:style>
  <w:style w:type="paragraph" w:customStyle="1" w:styleId="P68B1DB1-a14">
    <w:name w:val="P68B1DB1-a14"/>
    <w:basedOn w:val="a0"/>
    <w:rsid w:val="00C871E6"/>
    <w:pPr>
      <w:widowControl w:val="0"/>
      <w:spacing w:after="0" w:line="240" w:lineRule="auto"/>
      <w:jc w:val="both"/>
    </w:pPr>
    <w:rPr>
      <w:rFonts w:ascii="Calibri" w:eastAsia="宋体" w:hAnsi="Calibri" w:cs="宋体" w:hint="eastAsia"/>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84226">
      <w:bodyDiv w:val="1"/>
      <w:marLeft w:val="0"/>
      <w:marRight w:val="0"/>
      <w:marTop w:val="0"/>
      <w:marBottom w:val="0"/>
      <w:divBdr>
        <w:top w:val="none" w:sz="0" w:space="0" w:color="auto"/>
        <w:left w:val="none" w:sz="0" w:space="0" w:color="auto"/>
        <w:bottom w:val="none" w:sz="0" w:space="0" w:color="auto"/>
        <w:right w:val="none" w:sz="0" w:space="0" w:color="auto"/>
      </w:divBdr>
    </w:div>
    <w:div w:id="168641164">
      <w:bodyDiv w:val="1"/>
      <w:marLeft w:val="0"/>
      <w:marRight w:val="0"/>
      <w:marTop w:val="0"/>
      <w:marBottom w:val="0"/>
      <w:divBdr>
        <w:top w:val="none" w:sz="0" w:space="0" w:color="auto"/>
        <w:left w:val="none" w:sz="0" w:space="0" w:color="auto"/>
        <w:bottom w:val="none" w:sz="0" w:space="0" w:color="auto"/>
        <w:right w:val="none" w:sz="0" w:space="0" w:color="auto"/>
      </w:divBdr>
      <w:divsChild>
        <w:div w:id="1766800605">
          <w:marLeft w:val="0"/>
          <w:marRight w:val="0"/>
          <w:marTop w:val="0"/>
          <w:marBottom w:val="240"/>
          <w:divBdr>
            <w:top w:val="none" w:sz="0" w:space="0" w:color="auto"/>
            <w:left w:val="none" w:sz="0" w:space="0" w:color="auto"/>
            <w:bottom w:val="none" w:sz="0" w:space="0" w:color="auto"/>
            <w:right w:val="none" w:sz="0" w:space="0" w:color="auto"/>
          </w:divBdr>
        </w:div>
      </w:divsChild>
    </w:div>
    <w:div w:id="239490393">
      <w:bodyDiv w:val="1"/>
      <w:marLeft w:val="0"/>
      <w:marRight w:val="0"/>
      <w:marTop w:val="0"/>
      <w:marBottom w:val="0"/>
      <w:divBdr>
        <w:top w:val="none" w:sz="0" w:space="0" w:color="auto"/>
        <w:left w:val="none" w:sz="0" w:space="0" w:color="auto"/>
        <w:bottom w:val="none" w:sz="0" w:space="0" w:color="auto"/>
        <w:right w:val="none" w:sz="0" w:space="0" w:color="auto"/>
      </w:divBdr>
    </w:div>
    <w:div w:id="252713473">
      <w:bodyDiv w:val="1"/>
      <w:marLeft w:val="0"/>
      <w:marRight w:val="0"/>
      <w:marTop w:val="0"/>
      <w:marBottom w:val="0"/>
      <w:divBdr>
        <w:top w:val="none" w:sz="0" w:space="0" w:color="auto"/>
        <w:left w:val="none" w:sz="0" w:space="0" w:color="auto"/>
        <w:bottom w:val="none" w:sz="0" w:space="0" w:color="auto"/>
        <w:right w:val="none" w:sz="0" w:space="0" w:color="auto"/>
      </w:divBdr>
    </w:div>
    <w:div w:id="424960313">
      <w:bodyDiv w:val="1"/>
      <w:marLeft w:val="0"/>
      <w:marRight w:val="0"/>
      <w:marTop w:val="0"/>
      <w:marBottom w:val="0"/>
      <w:divBdr>
        <w:top w:val="none" w:sz="0" w:space="0" w:color="auto"/>
        <w:left w:val="none" w:sz="0" w:space="0" w:color="auto"/>
        <w:bottom w:val="none" w:sz="0" w:space="0" w:color="auto"/>
        <w:right w:val="none" w:sz="0" w:space="0" w:color="auto"/>
      </w:divBdr>
    </w:div>
    <w:div w:id="816261633">
      <w:bodyDiv w:val="1"/>
      <w:marLeft w:val="0"/>
      <w:marRight w:val="0"/>
      <w:marTop w:val="0"/>
      <w:marBottom w:val="0"/>
      <w:divBdr>
        <w:top w:val="none" w:sz="0" w:space="0" w:color="auto"/>
        <w:left w:val="none" w:sz="0" w:space="0" w:color="auto"/>
        <w:bottom w:val="none" w:sz="0" w:space="0" w:color="auto"/>
        <w:right w:val="none" w:sz="0" w:space="0" w:color="auto"/>
      </w:divBdr>
    </w:div>
    <w:div w:id="875849440">
      <w:bodyDiv w:val="1"/>
      <w:marLeft w:val="0"/>
      <w:marRight w:val="0"/>
      <w:marTop w:val="0"/>
      <w:marBottom w:val="0"/>
      <w:divBdr>
        <w:top w:val="none" w:sz="0" w:space="0" w:color="auto"/>
        <w:left w:val="none" w:sz="0" w:space="0" w:color="auto"/>
        <w:bottom w:val="none" w:sz="0" w:space="0" w:color="auto"/>
        <w:right w:val="none" w:sz="0" w:space="0" w:color="auto"/>
      </w:divBdr>
      <w:divsChild>
        <w:div w:id="629480641">
          <w:marLeft w:val="0"/>
          <w:marRight w:val="0"/>
          <w:marTop w:val="0"/>
          <w:marBottom w:val="0"/>
          <w:divBdr>
            <w:top w:val="none" w:sz="0" w:space="0" w:color="auto"/>
            <w:left w:val="none" w:sz="0" w:space="0" w:color="auto"/>
            <w:bottom w:val="none" w:sz="0" w:space="0" w:color="auto"/>
            <w:right w:val="none" w:sz="0" w:space="0" w:color="auto"/>
          </w:divBdr>
          <w:divsChild>
            <w:div w:id="329408356">
              <w:marLeft w:val="0"/>
              <w:marRight w:val="0"/>
              <w:marTop w:val="0"/>
              <w:marBottom w:val="0"/>
              <w:divBdr>
                <w:top w:val="none" w:sz="0" w:space="0" w:color="auto"/>
                <w:left w:val="none" w:sz="0" w:space="0" w:color="auto"/>
                <w:bottom w:val="none" w:sz="0" w:space="0" w:color="auto"/>
                <w:right w:val="none" w:sz="0" w:space="0" w:color="auto"/>
              </w:divBdr>
              <w:divsChild>
                <w:div w:id="1895894377">
                  <w:marLeft w:val="0"/>
                  <w:marRight w:val="0"/>
                  <w:marTop w:val="0"/>
                  <w:marBottom w:val="0"/>
                  <w:divBdr>
                    <w:top w:val="none" w:sz="0" w:space="0" w:color="auto"/>
                    <w:left w:val="none" w:sz="0" w:space="0" w:color="auto"/>
                    <w:bottom w:val="none" w:sz="0" w:space="0" w:color="auto"/>
                    <w:right w:val="none" w:sz="0" w:space="0" w:color="auto"/>
                  </w:divBdr>
                </w:div>
                <w:div w:id="130370427">
                  <w:marLeft w:val="0"/>
                  <w:marRight w:val="0"/>
                  <w:marTop w:val="0"/>
                  <w:marBottom w:val="0"/>
                  <w:divBdr>
                    <w:top w:val="none" w:sz="0" w:space="0" w:color="auto"/>
                    <w:left w:val="none" w:sz="0" w:space="0" w:color="auto"/>
                    <w:bottom w:val="none" w:sz="0" w:space="0" w:color="auto"/>
                    <w:right w:val="none" w:sz="0" w:space="0" w:color="auto"/>
                  </w:divBdr>
                </w:div>
                <w:div w:id="995769421">
                  <w:marLeft w:val="0"/>
                  <w:marRight w:val="0"/>
                  <w:marTop w:val="0"/>
                  <w:marBottom w:val="0"/>
                  <w:divBdr>
                    <w:top w:val="none" w:sz="0" w:space="0" w:color="auto"/>
                    <w:left w:val="none" w:sz="0" w:space="0" w:color="auto"/>
                    <w:bottom w:val="none" w:sz="0" w:space="0" w:color="auto"/>
                    <w:right w:val="none" w:sz="0" w:space="0" w:color="auto"/>
                  </w:divBdr>
                </w:div>
                <w:div w:id="1711688730">
                  <w:marLeft w:val="0"/>
                  <w:marRight w:val="0"/>
                  <w:marTop w:val="0"/>
                  <w:marBottom w:val="0"/>
                  <w:divBdr>
                    <w:top w:val="none" w:sz="0" w:space="0" w:color="auto"/>
                    <w:left w:val="none" w:sz="0" w:space="0" w:color="auto"/>
                    <w:bottom w:val="none" w:sz="0" w:space="0" w:color="auto"/>
                    <w:right w:val="none" w:sz="0" w:space="0" w:color="auto"/>
                  </w:divBdr>
                </w:div>
                <w:div w:id="656343389">
                  <w:marLeft w:val="0"/>
                  <w:marRight w:val="0"/>
                  <w:marTop w:val="0"/>
                  <w:marBottom w:val="0"/>
                  <w:divBdr>
                    <w:top w:val="none" w:sz="0" w:space="0" w:color="auto"/>
                    <w:left w:val="none" w:sz="0" w:space="0" w:color="auto"/>
                    <w:bottom w:val="none" w:sz="0" w:space="0" w:color="auto"/>
                    <w:right w:val="none" w:sz="0" w:space="0" w:color="auto"/>
                  </w:divBdr>
                </w:div>
                <w:div w:id="1525482491">
                  <w:marLeft w:val="0"/>
                  <w:marRight w:val="0"/>
                  <w:marTop w:val="0"/>
                  <w:marBottom w:val="0"/>
                  <w:divBdr>
                    <w:top w:val="none" w:sz="0" w:space="0" w:color="auto"/>
                    <w:left w:val="none" w:sz="0" w:space="0" w:color="auto"/>
                    <w:bottom w:val="none" w:sz="0" w:space="0" w:color="auto"/>
                    <w:right w:val="none" w:sz="0" w:space="0" w:color="auto"/>
                  </w:divBdr>
                </w:div>
                <w:div w:id="840507294">
                  <w:marLeft w:val="0"/>
                  <w:marRight w:val="0"/>
                  <w:marTop w:val="0"/>
                  <w:marBottom w:val="0"/>
                  <w:divBdr>
                    <w:top w:val="none" w:sz="0" w:space="0" w:color="auto"/>
                    <w:left w:val="none" w:sz="0" w:space="0" w:color="auto"/>
                    <w:bottom w:val="none" w:sz="0" w:space="0" w:color="auto"/>
                    <w:right w:val="none" w:sz="0" w:space="0" w:color="auto"/>
                  </w:divBdr>
                </w:div>
                <w:div w:id="2146729900">
                  <w:marLeft w:val="0"/>
                  <w:marRight w:val="0"/>
                  <w:marTop w:val="0"/>
                  <w:marBottom w:val="0"/>
                  <w:divBdr>
                    <w:top w:val="none" w:sz="0" w:space="0" w:color="auto"/>
                    <w:left w:val="none" w:sz="0" w:space="0" w:color="auto"/>
                    <w:bottom w:val="none" w:sz="0" w:space="0" w:color="auto"/>
                    <w:right w:val="none" w:sz="0" w:space="0" w:color="auto"/>
                  </w:divBdr>
                </w:div>
                <w:div w:id="647784797">
                  <w:marLeft w:val="0"/>
                  <w:marRight w:val="0"/>
                  <w:marTop w:val="0"/>
                  <w:marBottom w:val="0"/>
                  <w:divBdr>
                    <w:top w:val="none" w:sz="0" w:space="0" w:color="auto"/>
                    <w:left w:val="none" w:sz="0" w:space="0" w:color="auto"/>
                    <w:bottom w:val="none" w:sz="0" w:space="0" w:color="auto"/>
                    <w:right w:val="none" w:sz="0" w:space="0" w:color="auto"/>
                  </w:divBdr>
                </w:div>
                <w:div w:id="694765884">
                  <w:marLeft w:val="0"/>
                  <w:marRight w:val="0"/>
                  <w:marTop w:val="0"/>
                  <w:marBottom w:val="0"/>
                  <w:divBdr>
                    <w:top w:val="none" w:sz="0" w:space="0" w:color="auto"/>
                    <w:left w:val="none" w:sz="0" w:space="0" w:color="auto"/>
                    <w:bottom w:val="none" w:sz="0" w:space="0" w:color="auto"/>
                    <w:right w:val="none" w:sz="0" w:space="0" w:color="auto"/>
                  </w:divBdr>
                </w:div>
                <w:div w:id="445084625">
                  <w:marLeft w:val="0"/>
                  <w:marRight w:val="0"/>
                  <w:marTop w:val="0"/>
                  <w:marBottom w:val="0"/>
                  <w:divBdr>
                    <w:top w:val="none" w:sz="0" w:space="0" w:color="auto"/>
                    <w:left w:val="none" w:sz="0" w:space="0" w:color="auto"/>
                    <w:bottom w:val="none" w:sz="0" w:space="0" w:color="auto"/>
                    <w:right w:val="none" w:sz="0" w:space="0" w:color="auto"/>
                  </w:divBdr>
                </w:div>
                <w:div w:id="947156387">
                  <w:marLeft w:val="0"/>
                  <w:marRight w:val="0"/>
                  <w:marTop w:val="0"/>
                  <w:marBottom w:val="0"/>
                  <w:divBdr>
                    <w:top w:val="none" w:sz="0" w:space="0" w:color="auto"/>
                    <w:left w:val="none" w:sz="0" w:space="0" w:color="auto"/>
                    <w:bottom w:val="none" w:sz="0" w:space="0" w:color="auto"/>
                    <w:right w:val="none" w:sz="0" w:space="0" w:color="auto"/>
                  </w:divBdr>
                </w:div>
                <w:div w:id="3407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1524">
      <w:bodyDiv w:val="1"/>
      <w:marLeft w:val="0"/>
      <w:marRight w:val="0"/>
      <w:marTop w:val="0"/>
      <w:marBottom w:val="0"/>
      <w:divBdr>
        <w:top w:val="none" w:sz="0" w:space="0" w:color="auto"/>
        <w:left w:val="none" w:sz="0" w:space="0" w:color="auto"/>
        <w:bottom w:val="none" w:sz="0" w:space="0" w:color="auto"/>
        <w:right w:val="none" w:sz="0" w:space="0" w:color="auto"/>
      </w:divBdr>
    </w:div>
    <w:div w:id="1024862575">
      <w:bodyDiv w:val="1"/>
      <w:marLeft w:val="0"/>
      <w:marRight w:val="0"/>
      <w:marTop w:val="0"/>
      <w:marBottom w:val="0"/>
      <w:divBdr>
        <w:top w:val="none" w:sz="0" w:space="0" w:color="auto"/>
        <w:left w:val="none" w:sz="0" w:space="0" w:color="auto"/>
        <w:bottom w:val="none" w:sz="0" w:space="0" w:color="auto"/>
        <w:right w:val="none" w:sz="0" w:space="0" w:color="auto"/>
      </w:divBdr>
    </w:div>
    <w:div w:id="1048643839">
      <w:bodyDiv w:val="1"/>
      <w:marLeft w:val="0"/>
      <w:marRight w:val="0"/>
      <w:marTop w:val="0"/>
      <w:marBottom w:val="0"/>
      <w:divBdr>
        <w:top w:val="none" w:sz="0" w:space="0" w:color="auto"/>
        <w:left w:val="none" w:sz="0" w:space="0" w:color="auto"/>
        <w:bottom w:val="none" w:sz="0" w:space="0" w:color="auto"/>
        <w:right w:val="none" w:sz="0" w:space="0" w:color="auto"/>
      </w:divBdr>
    </w:div>
    <w:div w:id="1473906730">
      <w:bodyDiv w:val="1"/>
      <w:marLeft w:val="0"/>
      <w:marRight w:val="0"/>
      <w:marTop w:val="0"/>
      <w:marBottom w:val="0"/>
      <w:divBdr>
        <w:top w:val="none" w:sz="0" w:space="0" w:color="auto"/>
        <w:left w:val="none" w:sz="0" w:space="0" w:color="auto"/>
        <w:bottom w:val="none" w:sz="0" w:space="0" w:color="auto"/>
        <w:right w:val="none" w:sz="0" w:space="0" w:color="auto"/>
      </w:divBdr>
      <w:divsChild>
        <w:div w:id="71582223">
          <w:marLeft w:val="0"/>
          <w:marRight w:val="0"/>
          <w:marTop w:val="0"/>
          <w:marBottom w:val="0"/>
          <w:divBdr>
            <w:top w:val="none" w:sz="0" w:space="0" w:color="auto"/>
            <w:left w:val="none" w:sz="0" w:space="0" w:color="auto"/>
            <w:bottom w:val="none" w:sz="0" w:space="0" w:color="auto"/>
            <w:right w:val="none" w:sz="0" w:space="0" w:color="auto"/>
          </w:divBdr>
          <w:divsChild>
            <w:div w:id="2023706169">
              <w:marLeft w:val="0"/>
              <w:marRight w:val="0"/>
              <w:marTop w:val="0"/>
              <w:marBottom w:val="0"/>
              <w:divBdr>
                <w:top w:val="none" w:sz="0" w:space="0" w:color="auto"/>
                <w:left w:val="none" w:sz="0" w:space="0" w:color="auto"/>
                <w:bottom w:val="none" w:sz="0" w:space="0" w:color="auto"/>
                <w:right w:val="none" w:sz="0" w:space="0" w:color="auto"/>
              </w:divBdr>
              <w:divsChild>
                <w:div w:id="173421244">
                  <w:marLeft w:val="0"/>
                  <w:marRight w:val="0"/>
                  <w:marTop w:val="0"/>
                  <w:marBottom w:val="0"/>
                  <w:divBdr>
                    <w:top w:val="none" w:sz="0" w:space="0" w:color="auto"/>
                    <w:left w:val="none" w:sz="0" w:space="0" w:color="auto"/>
                    <w:bottom w:val="none" w:sz="0" w:space="0" w:color="auto"/>
                    <w:right w:val="none" w:sz="0" w:space="0" w:color="auto"/>
                  </w:divBdr>
                  <w:divsChild>
                    <w:div w:id="4691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325144">
      <w:bodyDiv w:val="1"/>
      <w:marLeft w:val="0"/>
      <w:marRight w:val="0"/>
      <w:marTop w:val="0"/>
      <w:marBottom w:val="0"/>
      <w:divBdr>
        <w:top w:val="none" w:sz="0" w:space="0" w:color="auto"/>
        <w:left w:val="none" w:sz="0" w:space="0" w:color="auto"/>
        <w:bottom w:val="none" w:sz="0" w:space="0" w:color="auto"/>
        <w:right w:val="none" w:sz="0" w:space="0" w:color="auto"/>
      </w:divBdr>
    </w:div>
    <w:div w:id="1569069198">
      <w:bodyDiv w:val="1"/>
      <w:marLeft w:val="0"/>
      <w:marRight w:val="0"/>
      <w:marTop w:val="0"/>
      <w:marBottom w:val="0"/>
      <w:divBdr>
        <w:top w:val="none" w:sz="0" w:space="0" w:color="auto"/>
        <w:left w:val="none" w:sz="0" w:space="0" w:color="auto"/>
        <w:bottom w:val="none" w:sz="0" w:space="0" w:color="auto"/>
        <w:right w:val="none" w:sz="0" w:space="0" w:color="auto"/>
      </w:divBdr>
    </w:div>
    <w:div w:id="1925139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Version="6" SelectedStyle="\APASixthEditionOfficeOnline.xsl" StyleName="APA"/>
</file>

<file path=customXml/itemProps1.xml><?xml version="1.0" encoding="utf-8"?>
<ds:datastoreItem xmlns:ds="http://schemas.openxmlformats.org/officeDocument/2006/customXml" ds:itemID="{4203BD5F-DE92-4E89-ADB5-471940AC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9</Pages>
  <Words>3529</Words>
  <Characters>20117</Characters>
  <Application>Microsoft Office Word</Application>
  <DocSecurity>0</DocSecurity>
  <Lines>167</Lines>
  <Paragraphs>47</Paragraphs>
  <ScaleCrop>false</ScaleCrop>
  <Company/>
  <LinksUpToDate>false</LinksUpToDate>
  <CharactersWithSpaces>23599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Edit 6.0</dc:creator>
  <dc:description>\begin{CCSXML}
&lt;ccs2012&gt;
   &lt;concept&gt;
       &lt;concept_id&gt;10002944.10011122.10002946&lt;/concept_id&gt;
       &lt;concept_desc&gt;General and reference~Reference works&lt;/concept_desc&gt;
       &lt;concept_significance&gt;500&lt;/concept_significance&gt;
       &lt;/concept&gt;
 &lt;/ccs2012&gt;
\end{CCSXML}
\ccsdesc[500]{General and reference~Reference works}</dc:description>
  <cp:lastModifiedBy>dell</cp:lastModifiedBy>
  <cp:revision>107</cp:revision>
  <dcterms:created xsi:type="dcterms:W3CDTF">2020-08-19T03:08:00Z</dcterms:created>
  <dcterms:modified xsi:type="dcterms:W3CDTF">2025-07-10T19:39:00Z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