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C39909">
      <w:pPr>
        <w:spacing w:line="300" w:lineRule="auto"/>
        <w:jc w:val="center"/>
        <w:rPr>
          <w:rFonts w:hint="default" w:ascii="Times New Roman" w:hAnsi="Times New Roman" w:cs="Times New Roman"/>
          <w:b/>
          <w:bCs/>
          <w:sz w:val="24"/>
        </w:rPr>
      </w:pPr>
      <w:r>
        <w:rPr>
          <w:rFonts w:hint="default" w:ascii="Times New Roman" w:hAnsi="Times New Roman" w:cs="Times New Roman"/>
          <w:b/>
          <w:bCs/>
          <w:sz w:val="24"/>
        </w:rPr>
        <w:t>Investigating the Roles of GLP-1R and FGFR1 in Regulating Cognitive and Affective Dysfunction in STZ-Induced Diabetic Mice via Hippocampal Mechanisms</w:t>
      </w:r>
    </w:p>
    <w:p w14:paraId="2F2770DC">
      <w:pPr>
        <w:spacing w:line="300" w:lineRule="auto"/>
        <w:jc w:val="left"/>
        <w:rPr>
          <w:rFonts w:hint="default" w:ascii="Times New Roman" w:hAnsi="Times New Roman" w:cs="Times New Roman"/>
        </w:rPr>
      </w:pPr>
      <w:r>
        <w:rPr>
          <w:rFonts w:hint="default" w:ascii="Times New Roman" w:hAnsi="Times New Roman" w:cs="Times New Roman"/>
          <w:b/>
          <w:bCs/>
          <w:sz w:val="24"/>
        </w:rPr>
        <w:t>Abstract:</w:t>
      </w:r>
      <w:r>
        <w:rPr>
          <w:rFonts w:hint="default" w:ascii="Times New Roman" w:hAnsi="Times New Roman" w:cs="Times New Roman"/>
        </w:rPr>
        <w:t xml:space="preserve"> </w:t>
      </w:r>
    </w:p>
    <w:p w14:paraId="43399D78">
      <w:pPr>
        <w:spacing w:line="300" w:lineRule="auto"/>
        <w:jc w:val="both"/>
        <w:rPr>
          <w:rFonts w:hint="default" w:ascii="Times New Roman" w:hAnsi="Times New Roman"/>
          <w:sz w:val="24"/>
        </w:rPr>
      </w:pPr>
      <w:r>
        <w:rPr>
          <w:rFonts w:hint="default" w:ascii="Times New Roman" w:hAnsi="Times New Roman"/>
          <w:sz w:val="24"/>
        </w:rPr>
        <w:t xml:space="preserve">Diabetes mellitus is a major metabolic disorder that contributes to central nervous system complications, including cognitive impairment and affective disorders. Emerging evidence highlights the regulatory roles of glucagon-like peptide-1 receptor (GLP-1R) and fibroblast growth factor receptor 1 (FGFR1) in both glucose metabolism and brain function; however, their roles and interplay in diabetes-related cognitive dysfunction remain unclear. Using streptozotocin (STZ)-induced type 1 diabetic mice and db/db type 2 diabetic models, we will systematically investigate behavioural phenotypes, synaptic plasticity, and molecular signatures. Behavioural assessments (e.g., Y-maze, novel object recognition, Barnes maze) will be combined with whole-cell patch-clamp recordings to evaluate long-term potentiation (LTP) in the hippocampus. Region-specific loss-of-function (AAV-mediated knockdown) and pharmacological activation (e.g., liraglutide, FGF4) will define the necessity and sufficiency of GLP-1R/FGFR1 pathways. Transcriptomic and proteomic profiling will identify co-regulated targets, such as BDNF and NMDAR subunits, and elucidate converging signalling pathways, including the cAMP–PKA–CREB and FGF21–ERK pathways. This study is the first to compare STZ-induced and genetic diabetic models in a neurobiological context and integrate multi-omics with electrophysiological analysis. </w:t>
      </w:r>
    </w:p>
    <w:p w14:paraId="5E686317">
      <w:pPr>
        <w:spacing w:line="300" w:lineRule="auto"/>
        <w:jc w:val="both"/>
        <w:rPr>
          <w:rFonts w:hint="default" w:ascii="Times New Roman" w:hAnsi="Times New Roman"/>
          <w:sz w:val="24"/>
        </w:rPr>
      </w:pPr>
      <w:r>
        <w:rPr>
          <w:rFonts w:hint="default" w:ascii="Times New Roman" w:hAnsi="Times New Roman"/>
          <w:sz w:val="24"/>
        </w:rPr>
        <w:t>This project aims to elucidate the mechanisms by which hippocampal GLP-1R and FGFR1 regulate cognitive and emotional deficits in diabetic encephalopathy. The study will investigate the synergistic roles of these two receptors in diabetes-induced brain dysfunction, reveal their underlying molecular mechanisms, and provide a solid theoretical foundation for the development of dual-target therapeutic strategies aimed at improving cognitive and emotional disorders in patients with diabetes.</w:t>
      </w:r>
    </w:p>
    <w:p w14:paraId="45A617C6">
      <w:pPr>
        <w:spacing w:line="300" w:lineRule="auto"/>
        <w:jc w:val="both"/>
        <w:rPr>
          <w:rFonts w:hint="default" w:ascii="Times New Roman" w:hAnsi="Times New Roman"/>
          <w:sz w:val="24"/>
        </w:rPr>
      </w:pPr>
    </w:p>
    <w:p w14:paraId="2569C876">
      <w:pPr>
        <w:spacing w:line="300" w:lineRule="auto"/>
        <w:jc w:val="both"/>
        <w:rPr>
          <w:rFonts w:hint="default" w:ascii="Times New Roman" w:hAnsi="Times New Roman" w:cs="Times New Roman"/>
          <w:b/>
          <w:bCs/>
          <w:sz w:val="24"/>
        </w:rPr>
      </w:pPr>
      <w:r>
        <w:rPr>
          <w:rFonts w:hint="default" w:ascii="Times New Roman" w:hAnsi="Times New Roman" w:cs="Times New Roman"/>
          <w:b/>
          <w:bCs/>
          <w:sz w:val="24"/>
        </w:rPr>
        <w:t xml:space="preserve">Introduction: </w:t>
      </w:r>
    </w:p>
    <w:p w14:paraId="583C2BA6">
      <w:pPr>
        <w:spacing w:line="300" w:lineRule="auto"/>
        <w:jc w:val="both"/>
        <w:rPr>
          <w:rFonts w:hint="default" w:ascii="Times New Roman" w:hAnsi="Times New Roman" w:cs="Times New Roman"/>
          <w:sz w:val="24"/>
        </w:rPr>
      </w:pPr>
      <w:r>
        <w:rPr>
          <w:rFonts w:hint="default" w:ascii="Times New Roman" w:hAnsi="Times New Roman"/>
          <w:sz w:val="24"/>
        </w:rPr>
        <w:t>Diabetes mellitus is a group of metabolic disorders characterised by defects in insulin secretion, insulin action, or both. As one of the most prevalent and burdensome chronic diseases in modern society, the global prevalence of diabetes among adults reached 10.5% in 2021 and is projected to rise to 12.2% by 2045. Diabetic individuals are at increased risk for a range of complications. In recent years, diabetes-associated neuropsychological conditions—such as cognitive impairment and affective disorders—have emerged as "novel complications" and are gaining increasing clinical attention</w:t>
      </w:r>
      <w:r>
        <w:rPr>
          <w:rFonts w:hint="default" w:ascii="Times New Roman" w:hAnsi="Times New Roman" w:cs="Times New Roman"/>
          <w:sz w:val="24"/>
        </w:rPr>
        <w:fldChar w:fldCharType="begin"/>
      </w:r>
      <w:r>
        <w:rPr>
          <w:rFonts w:hint="default" w:ascii="Times New Roman" w:hAnsi="Times New Roman" w:cs="Times New Roman"/>
          <w:sz w:val="24"/>
          <w:lang w:eastAsia="zh-CN"/>
        </w:rPr>
        <w:instrText xml:space="preserve"> ADDIN EN.CITE &lt;EndNote&gt;&lt;Cite&gt;&lt;Author&gt;Tomic&lt;/Author&gt;&lt;Year&gt;2022&lt;/Year&gt;&lt;RecNum&gt;83&lt;/RecNum&gt;&lt;DisplayText&gt;&lt;style face="superscript"&gt;1&lt;/style&gt;&lt;/DisplayText&gt;&lt;record&gt;&lt;rec-number&gt;83&lt;/rec-number&gt;&lt;foreign-keys&gt;&lt;key app="EN" db-id="aapp02sfnrspwxe0tr3v0patrssarpe59a95" timestamp="1710767603"&gt;83&lt;/key&gt;&lt;/foreign-keys&gt;&lt;ref-type name="Journal Article"&gt;17&lt;/ref-type&gt;&lt;contributors&gt;&lt;authors&gt;&lt;author&gt;Tomic, D.&lt;/author&gt;&lt;author&gt;Shaw, J. E.&lt;/author&gt;&lt;author&gt;Magliano, D. J.&lt;/author&gt;&lt;/authors&gt;&lt;/contributors&gt;&lt;auth-address&gt;Baker Heart and Diabetes Institute, Melbourne, Victoria, Australia.&amp;#xD;School of Public Health and Preventive Medicine, Monash University, Melbourne, Victoria, Australia.&amp;#xD;Baker Heart and Diabetes Institute, Melbourne, Victoria, Australia. Dianna.Magliano@baker.edu.au.&amp;#xD;School of Public Health and Preventive Medicine, Monash University, Melbourne, Victoria, Australia. Dianna.Magliano@baker.edu.au.&lt;/auth-address&gt;&lt;titles&gt;&lt;title&gt;The burden and risks of emerging complications of diabetes mellitus&lt;/title&gt;&lt;secondary-title&gt;Nat Rev Endocrinol&lt;/secondary-title&gt;&lt;/titles&gt;&lt;periodical&gt;&lt;full-title&gt;Nat Rev Endocrinol&lt;/full-title&gt;&lt;/periodical&gt;&lt;pages&gt;525-539&lt;/pages&gt;&lt;volume&gt;18&lt;/volume&gt;&lt;number&gt;9&lt;/number&gt;&lt;edition&gt;20220606&lt;/edition&gt;&lt;keywords&gt;&lt;keyword&gt;Comorbidity&lt;/keyword&gt;&lt;keyword&gt;*Cost of Illness&lt;/keyword&gt;&lt;keyword&gt;*Diabetes Mellitus, Type 2/complications/epidemiology&lt;/keyword&gt;&lt;keyword&gt;Humans&lt;/keyword&gt;&lt;keyword&gt;Risk&lt;/keyword&gt;&lt;/keywords&gt;&lt;dates&gt;&lt;year&gt;2022&lt;/year&gt;&lt;pub-dates&gt;&lt;date&gt;Sep&lt;/date&gt;&lt;/pub-dates&gt;&lt;/dates&gt;&lt;isbn&gt;1759-5029 (Print)&amp;#xD;1759-5029&lt;/isbn&gt;&lt;accession-num&gt;35668219&lt;/accession-num&gt;&lt;urls&gt;&lt;/urls&gt;&lt;custom1&gt;The authors declare no competing interests.&lt;/custom1&gt;&lt;custom2&gt;PMC9169030&lt;/custom2&gt;&lt;electronic-resource-num&gt;10.1038/s41574-022-00690-7&lt;/electronic-resource-num&gt;&lt;remote-database-provider&gt;NLM&lt;/remote-database-provider&gt;&lt;language&gt;eng&lt;/language&gt;&lt;/record&gt;&lt;/Cite&gt;&lt;/EndNote&gt;</w:instrText>
      </w:r>
      <w:r>
        <w:rPr>
          <w:rFonts w:hint="default" w:ascii="Times New Roman" w:hAnsi="Times New Roman" w:cs="Times New Roman"/>
          <w:sz w:val="24"/>
        </w:rPr>
        <w:fldChar w:fldCharType="separate"/>
      </w:r>
      <w:r>
        <w:rPr>
          <w:rFonts w:hint="default" w:ascii="Times New Roman" w:hAnsi="Times New Roman" w:eastAsia="SimSun" w:cs="Times New Roman"/>
          <w:kern w:val="2"/>
          <w:sz w:val="24"/>
          <w:szCs w:val="24"/>
          <w:vertAlign w:val="superscript"/>
          <w:lang w:val="en-US" w:eastAsia="zh-CN" w:bidi="ar-SA"/>
        </w:rPr>
        <w:t>1</w:t>
      </w:r>
      <w:r>
        <w:rPr>
          <w:rFonts w:hint="default" w:ascii="Times New Roman" w:hAnsi="Times New Roman" w:cs="Times New Roman"/>
          <w:sz w:val="24"/>
        </w:rPr>
        <w:fldChar w:fldCharType="end"/>
      </w:r>
      <w:r>
        <w:rPr>
          <w:rFonts w:hint="default" w:ascii="Times New Roman" w:hAnsi="Times New Roman" w:cs="Times New Roman"/>
          <w:sz w:val="23"/>
          <w:szCs w:val="23"/>
        </w:rPr>
        <w:t>.</w:t>
      </w:r>
      <w:r>
        <w:rPr>
          <w:rFonts w:hint="default" w:ascii="Times New Roman" w:hAnsi="Times New Roman"/>
          <w:sz w:val="24"/>
        </w:rPr>
        <w:t>In some developed countries, dementia has surpassed traditional complications such as cardiovascular disease as the leading cause of death among diabetic patients</w:t>
      </w:r>
      <w:r>
        <w:rPr>
          <w:rFonts w:hint="default" w:ascii="Times New Roman" w:hAnsi="Times New Roman" w:cs="Times New Roman"/>
          <w:sz w:val="24"/>
        </w:rPr>
        <w:fldChar w:fldCharType="begin"/>
      </w:r>
      <w:r>
        <w:rPr>
          <w:rFonts w:hint="default" w:ascii="Times New Roman" w:hAnsi="Times New Roman" w:cs="Times New Roman"/>
          <w:sz w:val="24"/>
          <w:lang w:eastAsia="zh-CN"/>
        </w:rPr>
        <w:instrText xml:space="preserve"> ADDIN EN.CITE </w:instrText>
      </w:r>
      <w:r>
        <w:rPr>
          <w:rFonts w:hint="default" w:ascii="Times New Roman" w:hAnsi="Times New Roman" w:cs="Times New Roman"/>
          <w:sz w:val="24"/>
          <w:lang w:eastAsia="zh-CN"/>
        </w:rPr>
        <w:fldChar w:fldCharType="begin"/>
      </w:r>
      <w:r>
        <w:rPr>
          <w:rFonts w:hint="default" w:ascii="Times New Roman" w:hAnsi="Times New Roman" w:cs="Times New Roman"/>
          <w:sz w:val="24"/>
          <w:lang w:eastAsia="zh-CN"/>
        </w:rPr>
        <w:instrText xml:space="preserve"> ADDIN EN.CITE.DATA </w:instrText>
      </w:r>
      <w:r>
        <w:rPr>
          <w:rFonts w:hint="default" w:ascii="Times New Roman" w:hAnsi="Times New Roman" w:cs="Times New Roman"/>
          <w:sz w:val="24"/>
          <w:lang w:eastAsia="zh-CN"/>
        </w:rPr>
        <w:fldChar w:fldCharType="separate"/>
      </w:r>
      <w:r>
        <w:rPr>
          <w:rFonts w:hint="default" w:ascii="Times New Roman" w:hAnsi="Times New Roman" w:cs="Times New Roman"/>
          <w:sz w:val="24"/>
          <w:lang w:eastAsia="zh-CN"/>
        </w:rPr>
        <w:fldChar w:fldCharType="end"/>
      </w:r>
      <w:r>
        <w:rPr>
          <w:rFonts w:hint="default" w:ascii="Times New Roman" w:hAnsi="Times New Roman" w:cs="Times New Roman"/>
          <w:sz w:val="24"/>
        </w:rPr>
        <w:fldChar w:fldCharType="separate"/>
      </w:r>
      <w:r>
        <w:rPr>
          <w:rFonts w:hint="default" w:ascii="Times New Roman" w:hAnsi="Times New Roman" w:eastAsia="SimSun" w:cs="Times New Roman"/>
          <w:kern w:val="2"/>
          <w:sz w:val="24"/>
          <w:szCs w:val="24"/>
          <w:vertAlign w:val="superscript"/>
          <w:lang w:val="en-US" w:eastAsia="zh-CN" w:bidi="ar-SA"/>
        </w:rPr>
        <w:t>2</w:t>
      </w:r>
      <w:r>
        <w:rPr>
          <w:rFonts w:hint="default" w:ascii="Times New Roman" w:hAnsi="Times New Roman" w:cs="Times New Roman"/>
          <w:sz w:val="24"/>
        </w:rPr>
        <w:fldChar w:fldCharType="end"/>
      </w:r>
      <w:r>
        <w:rPr>
          <w:rFonts w:hint="default" w:ascii="Times New Roman" w:hAnsi="Times New Roman" w:cs="Times New Roman"/>
          <w:sz w:val="23"/>
          <w:szCs w:val="23"/>
        </w:rPr>
        <w:t>.</w:t>
      </w:r>
      <w:r>
        <w:rPr>
          <w:rFonts w:hint="default" w:ascii="Times New Roman" w:hAnsi="Times New Roman"/>
          <w:sz w:val="24"/>
        </w:rPr>
        <w:t>Hyperglycemia can impair central nervous system (CNS) function through multiple pathological mechanisms, including excessive accumulation of reactive oxygen species (ROS), abnormal amyloid-beta metabolism, advanced glycation end-product (AGE) deposition, insulin signalling impairment, and cerebral hypoperfusion. These processes ultimately contribute to neuronal loss and cognitive decline</w:t>
      </w:r>
      <w:r>
        <w:rPr>
          <w:rFonts w:hint="default" w:ascii="Times New Roman" w:hAnsi="Times New Roman" w:cs="Times New Roman"/>
          <w:sz w:val="24"/>
        </w:rPr>
        <w:fldChar w:fldCharType="begin"/>
      </w:r>
      <w:r>
        <w:rPr>
          <w:rFonts w:hint="default" w:ascii="Times New Roman" w:hAnsi="Times New Roman" w:cs="Times New Roman"/>
          <w:sz w:val="24"/>
          <w:lang w:eastAsia="zh-CN"/>
        </w:rPr>
        <w:instrText xml:space="preserve"> ADDIN EN.CITE </w:instrText>
      </w:r>
      <w:r>
        <w:rPr>
          <w:rFonts w:hint="default" w:ascii="Times New Roman" w:hAnsi="Times New Roman" w:cs="Times New Roman"/>
          <w:sz w:val="24"/>
          <w:lang w:eastAsia="zh-CN"/>
        </w:rPr>
        <w:fldChar w:fldCharType="begin"/>
      </w:r>
      <w:r>
        <w:rPr>
          <w:rFonts w:hint="default" w:ascii="Times New Roman" w:hAnsi="Times New Roman" w:cs="Times New Roman"/>
          <w:sz w:val="24"/>
          <w:lang w:eastAsia="zh-CN"/>
        </w:rPr>
        <w:instrText xml:space="preserve"> ADDIN EN.CITE.DATA </w:instrText>
      </w:r>
      <w:r>
        <w:rPr>
          <w:rFonts w:hint="default" w:ascii="Times New Roman" w:hAnsi="Times New Roman" w:cs="Times New Roman"/>
          <w:sz w:val="24"/>
          <w:lang w:eastAsia="zh-CN"/>
        </w:rPr>
        <w:fldChar w:fldCharType="separate"/>
      </w:r>
      <w:r>
        <w:rPr>
          <w:rFonts w:hint="default" w:ascii="Times New Roman" w:hAnsi="Times New Roman" w:cs="Times New Roman"/>
          <w:sz w:val="24"/>
          <w:lang w:eastAsia="zh-CN"/>
        </w:rPr>
        <w:fldChar w:fldCharType="end"/>
      </w:r>
      <w:r>
        <w:rPr>
          <w:rFonts w:hint="default" w:ascii="Times New Roman" w:hAnsi="Times New Roman" w:cs="Times New Roman"/>
          <w:sz w:val="24"/>
        </w:rPr>
        <w:fldChar w:fldCharType="separate"/>
      </w:r>
      <w:r>
        <w:rPr>
          <w:rFonts w:hint="default" w:ascii="Times New Roman" w:hAnsi="Times New Roman" w:eastAsia="SimSun" w:cs="Times New Roman"/>
          <w:kern w:val="2"/>
          <w:sz w:val="24"/>
          <w:szCs w:val="24"/>
          <w:vertAlign w:val="superscript"/>
          <w:lang w:val="en-US" w:eastAsia="zh-CN" w:bidi="ar-SA"/>
        </w:rPr>
        <w:t>3</w:t>
      </w:r>
      <w:r>
        <w:rPr>
          <w:rFonts w:hint="default" w:ascii="Times New Roman" w:hAnsi="Times New Roman" w:cs="Times New Roman"/>
          <w:sz w:val="24"/>
        </w:rPr>
        <w:fldChar w:fldCharType="end"/>
      </w:r>
      <w:r>
        <w:rPr>
          <w:rFonts w:hint="default" w:ascii="Times New Roman" w:hAnsi="Times New Roman" w:cs="Times New Roman"/>
          <w:sz w:val="24"/>
        </w:rPr>
        <w:t xml:space="preserve">; </w:t>
      </w:r>
      <w:r>
        <w:rPr>
          <w:rFonts w:hint="default" w:ascii="Times New Roman" w:hAnsi="Times New Roman"/>
          <w:sz w:val="24"/>
        </w:rPr>
        <w:t>however, the precise molecular mechanisms underlying these effects remain largely undefined.</w:t>
      </w:r>
    </w:p>
    <w:p w14:paraId="08C50845">
      <w:pPr>
        <w:spacing w:line="300" w:lineRule="auto"/>
        <w:ind w:firstLine="480" w:firstLineChars="200"/>
        <w:jc w:val="both"/>
        <w:rPr>
          <w:rFonts w:hint="default" w:ascii="Times New Roman" w:hAnsi="Times New Roman"/>
          <w:sz w:val="24"/>
        </w:rPr>
      </w:pPr>
      <w:r>
        <w:rPr>
          <w:rFonts w:hint="default" w:ascii="Times New Roman" w:hAnsi="Times New Roman"/>
          <w:sz w:val="24"/>
        </w:rPr>
        <w:t>Glucagon-like peptide-1 receptor (GLP-1R) and fibroblast growth factor receptor 1 (FGFR1) are two critical transmembrane signalling receptors that have attracted increasing interest due to their potential roles in the neuropsychological complications of diabetes.</w:t>
      </w:r>
    </w:p>
    <w:p w14:paraId="21DEEF9F">
      <w:pPr>
        <w:spacing w:line="300" w:lineRule="auto"/>
        <w:ind w:firstLine="480" w:firstLineChars="200"/>
        <w:jc w:val="both"/>
        <w:rPr>
          <w:rFonts w:hint="default" w:ascii="Times New Roman" w:hAnsi="Times New Roman" w:cs="Times New Roman"/>
          <w:sz w:val="23"/>
          <w:szCs w:val="23"/>
        </w:rPr>
      </w:pPr>
      <w:r>
        <w:rPr>
          <w:rFonts w:hint="default" w:ascii="Times New Roman" w:hAnsi="Times New Roman"/>
          <w:sz w:val="24"/>
        </w:rPr>
        <w:t>GLP-1, as a regulatory factor of GLP-1R, is a peptide hormone derived from tissue-specific cleavage of proglucagon, secreted primarily by intestinal L cells, pancreatic α cells, and preproglucagon (PPG) neurons located in the caudal brainstem and hypothalamus. It plays a vital role in maintaining glucose homeostasis and energy balance. GLP-1 receptors are widely expressed across various organs and tissues, including the gastrointestinal tract, pancreas, kidney, cardiovascular system, and brain. Through these receptors, GLP-1 mediates multiple physiological functions, including glucose regulation, appetite suppression, energy metabolism, delayed gastric emptying, and neuroprotection. Due to its broad-spectrum regulatory effects, GLP-1 has become a key therapeutic target for type 2 diabetes and obesity</w:t>
      </w:r>
      <w:r>
        <w:rPr>
          <w:rFonts w:hint="default" w:ascii="Times New Roman" w:hAnsi="Times New Roman" w:cs="Times New Roman"/>
          <w:sz w:val="24"/>
        </w:rPr>
        <w:fldChar w:fldCharType="begin"/>
      </w:r>
      <w:r>
        <w:rPr>
          <w:rFonts w:hint="default" w:ascii="Times New Roman" w:hAnsi="Times New Roman" w:cs="Times New Roman"/>
          <w:sz w:val="24"/>
          <w:lang w:eastAsia="zh-CN"/>
        </w:rPr>
        <w:instrText xml:space="preserve"> ADDIN EN.CITE &lt;EndNote&gt;&lt;Cite&gt;&lt;Author&gt;Holst&lt;/Author&gt;&lt;RecNum&gt;152&lt;/RecNum&gt;&lt;DisplayText&gt;&lt;style face="superscript"&gt;4,5&lt;/style&gt;&lt;/DisplayText&gt;&lt;record&gt;&lt;rec-number&gt;152&lt;/rec-number&gt;&lt;foreign-keys&gt;&lt;key app="EN" db-id="aapp02sfnrspwxe0tr3v0patrssarpe59a95" timestamp="1752065647"&gt;152&lt;/key&gt;&lt;/foreign-keys&gt;&lt;ref-type name="Journal Article"&gt;17&lt;/ref-type&gt;&lt;contributors&gt;&lt;authors&gt;&lt;author&gt;Holst, J. J.&lt;/author&gt;&lt;/authors&gt;&lt;translated-authors&gt;&lt;author&gt;Physiol, Rev&lt;/author&gt;&lt;/translated-authors&gt;&lt;/contributors&gt;&lt;auth-address&gt;Department of Medical Physiology, The Panum Institute, University of Copenhagen, Copenhagen, Denmark. holst@mfi.ku.dk&lt;/auth-address&gt;&lt;titles&gt;&lt;title&gt;The physiology of glucagon-like peptide 1&lt;/title&gt;&lt;/titles&gt;&lt;number&gt;0031-9333 (Print)&lt;/number&gt;&lt;dates&gt;&lt;/dates&gt;&lt;urls&gt;&lt;/urls&gt;&lt;remote-database-provider&gt;2007 Oct&lt;/remote-database-provider&gt;&lt;research-notes&gt;0 (GLP1R protein, human)&amp;#xD;0 (Glucagon-Like Peptide-1 Receptor)&amp;#xD;0 (Receptors, Glucagon)&amp;#xD;55963-74-1 (Proglucagon)&amp;#xD;89750-14-1 (Glucagon-Like Peptide 1)&lt;/research-notes&gt;&lt;language&gt;eng&lt;/language&gt;&lt;/record&gt;&lt;/Cite&gt;&lt;Cite&gt;&lt;Author&gt;Drucker&lt;/Author&gt;&lt;RecNum&gt;154&lt;/RecNum&gt;&lt;record&gt;&lt;rec-number&gt;154&lt;/rec-number&gt;&lt;foreign-keys&gt;&lt;key app="EN" db-id="aapp02sfnrspwxe0tr3v0patrssarpe59a95" timestamp="1752065674"&gt;154&lt;/key&gt;&lt;/foreign-keys&gt;&lt;ref-type name="Journal Article"&gt;17&lt;/ref-type&gt;&lt;contributors&gt;&lt;authors&gt;&lt;author&gt;Drucker, D. J.&lt;/author&gt;&lt;/authors&gt;&lt;translated-authors&gt;&lt;author&gt;Cell, Metab&lt;/author&gt;&lt;/translated-authors&gt;&lt;/contributors&gt;&lt;auth-address&gt;Department of Medicine, Lunenfeld-Tanenbaum Research Institute, Mt. Sinai Hospital, University of Toronto, Toronto, ON M5G 1X5, Canada. Electronic address: drucker@lunenfeld.ca.&lt;/auth-address&gt;&lt;titles&gt;&lt;title&gt;The Cardiovascular Biology of Glucagon-like Peptide-1&lt;/title&gt;&lt;/titles&gt;&lt;number&gt;1932-7420 (Electronic)&lt;/number&gt;&lt;dates&gt;&lt;/dates&gt;&lt;urls&gt;&lt;/urls&gt;&lt;remote-database-provider&gt;2016 Jul 12&lt;/remote-database-provider&gt;&lt;research-notes&gt;89750-14-1 (Glucagon-Like Peptide 1)&lt;/research-notes&gt;&lt;language&gt;eng&lt;/language&gt;&lt;/record&gt;&lt;/Cite&gt;&lt;/EndNote&gt;</w:instrText>
      </w:r>
      <w:r>
        <w:rPr>
          <w:rFonts w:hint="default" w:ascii="Times New Roman" w:hAnsi="Times New Roman" w:cs="Times New Roman"/>
          <w:sz w:val="24"/>
        </w:rPr>
        <w:fldChar w:fldCharType="separate"/>
      </w:r>
      <w:r>
        <w:rPr>
          <w:rFonts w:hint="default" w:ascii="Times New Roman" w:hAnsi="Times New Roman" w:eastAsia="SimSun" w:cs="Times New Roman"/>
          <w:kern w:val="2"/>
          <w:sz w:val="24"/>
          <w:szCs w:val="24"/>
          <w:vertAlign w:val="superscript"/>
          <w:lang w:val="en-US" w:eastAsia="zh-CN" w:bidi="ar-SA"/>
        </w:rPr>
        <w:t>4,5</w:t>
      </w:r>
      <w:r>
        <w:rPr>
          <w:rFonts w:hint="default" w:ascii="Times New Roman" w:hAnsi="Times New Roman" w:cs="Times New Roman"/>
          <w:sz w:val="24"/>
        </w:rPr>
        <w:fldChar w:fldCharType="end"/>
      </w:r>
      <w:r>
        <w:rPr>
          <w:rFonts w:hint="default" w:ascii="Times New Roman" w:hAnsi="Times New Roman" w:cs="Times New Roman"/>
          <w:sz w:val="23"/>
          <w:szCs w:val="23"/>
        </w:rPr>
        <w:t>.</w:t>
      </w:r>
      <w:r>
        <w:rPr>
          <w:rFonts w:hint="default" w:ascii="Times New Roman" w:hAnsi="Times New Roman" w:cs="Times New Roman"/>
          <w:sz w:val="24"/>
        </w:rPr>
        <w:t xml:space="preserve"> </w:t>
      </w:r>
      <w:r>
        <w:rPr>
          <w:rFonts w:hint="default" w:ascii="Times New Roman" w:hAnsi="Times New Roman"/>
          <w:sz w:val="24"/>
        </w:rPr>
        <w:t>In addition to its well-established metabolic effects, GLP-1 also plays a pivotal role in cognitive maintenance. Emerging studies have demonstrated that GLP-1 and its receptor agonists (GLP-1 RAs) can promote neuronal survival, enhance synaptic plasticity, and improve memory function</w:t>
      </w:r>
      <w:r>
        <w:rPr>
          <w:rFonts w:hint="default" w:ascii="Times New Roman" w:hAnsi="Times New Roman" w:cs="Times New Roman"/>
          <w:sz w:val="24"/>
        </w:rPr>
        <w:fldChar w:fldCharType="begin"/>
      </w:r>
      <w:r>
        <w:rPr>
          <w:rFonts w:hint="default" w:ascii="Times New Roman" w:hAnsi="Times New Roman" w:cs="Times New Roman"/>
          <w:sz w:val="24"/>
          <w:lang w:eastAsia="zh-CN"/>
        </w:rPr>
        <w:instrText xml:space="preserve"> ADDIN EN.CITE </w:instrText>
      </w:r>
      <w:r>
        <w:rPr>
          <w:rFonts w:hint="default" w:ascii="Times New Roman" w:hAnsi="Times New Roman" w:cs="Times New Roman"/>
          <w:sz w:val="24"/>
          <w:lang w:eastAsia="zh-CN"/>
        </w:rPr>
        <w:fldChar w:fldCharType="begin"/>
      </w:r>
      <w:r>
        <w:rPr>
          <w:rFonts w:hint="default" w:ascii="Times New Roman" w:hAnsi="Times New Roman" w:cs="Times New Roman"/>
          <w:sz w:val="24"/>
          <w:lang w:eastAsia="zh-CN"/>
        </w:rPr>
        <w:instrText xml:space="preserve"> ADDIN EN.CITE.DATA </w:instrText>
      </w:r>
      <w:r>
        <w:rPr>
          <w:rFonts w:hint="default" w:ascii="Times New Roman" w:hAnsi="Times New Roman" w:cs="Times New Roman"/>
          <w:sz w:val="24"/>
          <w:lang w:eastAsia="zh-CN"/>
        </w:rPr>
        <w:fldChar w:fldCharType="separate"/>
      </w:r>
      <w:r>
        <w:rPr>
          <w:rFonts w:hint="default" w:ascii="Times New Roman" w:hAnsi="Times New Roman" w:cs="Times New Roman"/>
          <w:sz w:val="24"/>
          <w:lang w:eastAsia="zh-CN"/>
        </w:rPr>
        <w:fldChar w:fldCharType="end"/>
      </w:r>
      <w:r>
        <w:rPr>
          <w:rFonts w:hint="default" w:ascii="Times New Roman" w:hAnsi="Times New Roman" w:cs="Times New Roman"/>
          <w:sz w:val="24"/>
        </w:rPr>
        <w:fldChar w:fldCharType="separate"/>
      </w:r>
      <w:r>
        <w:rPr>
          <w:rFonts w:hint="default" w:ascii="Times New Roman" w:hAnsi="Times New Roman" w:eastAsia="SimSun" w:cs="Times New Roman"/>
          <w:kern w:val="2"/>
          <w:sz w:val="24"/>
          <w:szCs w:val="24"/>
          <w:vertAlign w:val="superscript"/>
          <w:lang w:val="en-US" w:eastAsia="zh-CN" w:bidi="ar-SA"/>
        </w:rPr>
        <w:t>2</w:t>
      </w:r>
      <w:r>
        <w:rPr>
          <w:rFonts w:hint="default" w:ascii="Times New Roman" w:hAnsi="Times New Roman" w:cs="Times New Roman"/>
          <w:sz w:val="24"/>
        </w:rPr>
        <w:fldChar w:fldCharType="end"/>
      </w:r>
      <w:r>
        <w:rPr>
          <w:rFonts w:hint="default" w:ascii="Times New Roman" w:hAnsi="Times New Roman" w:cs="Times New Roman"/>
          <w:sz w:val="24"/>
        </w:rPr>
        <w:t>.</w:t>
      </w:r>
      <w:r>
        <w:rPr>
          <w:rFonts w:hint="default" w:ascii="Times New Roman" w:hAnsi="Times New Roman" w:cs="Times New Roman"/>
          <w:sz w:val="24"/>
          <w:lang w:val="en-US"/>
        </w:rPr>
        <w:t xml:space="preserve"> </w:t>
      </w:r>
      <w:r>
        <w:rPr>
          <w:rFonts w:hint="default" w:ascii="Times New Roman" w:hAnsi="Times New Roman"/>
          <w:sz w:val="24"/>
        </w:rPr>
        <w:t>Given that diabetes itself is an independent risk factor for cognitive impairment, GLP-1 RAs may alleviate neuronal damage by improving brain energy metabolism and mitigating insulin resistance, thereby significantly enhancing cognitive performance in individuals with diabetes</w:t>
      </w:r>
      <w:r>
        <w:rPr>
          <w:rFonts w:hint="default" w:ascii="Times New Roman" w:hAnsi="Times New Roman" w:cs="Times New Roman"/>
          <w:sz w:val="24"/>
        </w:rPr>
        <w:fldChar w:fldCharType="begin"/>
      </w:r>
      <w:r>
        <w:rPr>
          <w:rFonts w:hint="default" w:ascii="Times New Roman" w:hAnsi="Times New Roman" w:cs="Times New Roman"/>
          <w:sz w:val="24"/>
          <w:lang w:eastAsia="zh-CN"/>
        </w:rPr>
        <w:instrText xml:space="preserve"> ADDIN EN.CITE </w:instrText>
      </w:r>
      <w:r>
        <w:rPr>
          <w:rFonts w:hint="default" w:ascii="Times New Roman" w:hAnsi="Times New Roman" w:cs="Times New Roman"/>
          <w:sz w:val="24"/>
          <w:lang w:eastAsia="zh-CN"/>
        </w:rPr>
        <w:fldChar w:fldCharType="begin"/>
      </w:r>
      <w:r>
        <w:rPr>
          <w:rFonts w:hint="default" w:ascii="Times New Roman" w:hAnsi="Times New Roman" w:cs="Times New Roman"/>
          <w:sz w:val="24"/>
          <w:lang w:eastAsia="zh-CN"/>
        </w:rPr>
        <w:instrText xml:space="preserve"> ADDIN EN.CITE.DATA </w:instrText>
      </w:r>
      <w:r>
        <w:rPr>
          <w:rFonts w:hint="default" w:ascii="Times New Roman" w:hAnsi="Times New Roman" w:cs="Times New Roman"/>
          <w:sz w:val="24"/>
          <w:lang w:eastAsia="zh-CN"/>
        </w:rPr>
        <w:fldChar w:fldCharType="separate"/>
      </w:r>
      <w:r>
        <w:rPr>
          <w:rFonts w:hint="default" w:ascii="Times New Roman" w:hAnsi="Times New Roman" w:cs="Times New Roman"/>
          <w:sz w:val="24"/>
          <w:lang w:eastAsia="zh-CN"/>
        </w:rPr>
        <w:fldChar w:fldCharType="end"/>
      </w:r>
      <w:r>
        <w:rPr>
          <w:rFonts w:hint="default" w:ascii="Times New Roman" w:hAnsi="Times New Roman" w:cs="Times New Roman"/>
          <w:sz w:val="24"/>
        </w:rPr>
        <w:fldChar w:fldCharType="separate"/>
      </w:r>
      <w:r>
        <w:rPr>
          <w:rFonts w:hint="default" w:ascii="Times New Roman" w:hAnsi="Times New Roman" w:eastAsia="SimSun" w:cs="Times New Roman"/>
          <w:kern w:val="2"/>
          <w:sz w:val="24"/>
          <w:szCs w:val="24"/>
          <w:vertAlign w:val="superscript"/>
          <w:lang w:val="en-US" w:eastAsia="zh-CN" w:bidi="ar-SA"/>
        </w:rPr>
        <w:t>6,7</w:t>
      </w:r>
      <w:r>
        <w:rPr>
          <w:rFonts w:hint="default" w:ascii="Times New Roman" w:hAnsi="Times New Roman" w:cs="Times New Roman"/>
          <w:sz w:val="24"/>
        </w:rPr>
        <w:fldChar w:fldCharType="end"/>
      </w:r>
      <w:r>
        <w:rPr>
          <w:rFonts w:hint="default" w:ascii="Times New Roman" w:hAnsi="Times New Roman" w:cs="Times New Roman"/>
          <w:sz w:val="23"/>
          <w:szCs w:val="23"/>
        </w:rPr>
        <w:t>.</w:t>
      </w:r>
    </w:p>
    <w:p w14:paraId="21C45422">
      <w:pPr>
        <w:spacing w:line="300" w:lineRule="auto"/>
        <w:ind w:firstLine="480" w:firstLineChars="200"/>
        <w:jc w:val="both"/>
        <w:rPr>
          <w:rFonts w:hint="default" w:ascii="Times New Roman" w:hAnsi="Times New Roman" w:cs="Times New Roman"/>
          <w:sz w:val="24"/>
        </w:rPr>
      </w:pPr>
      <w:r>
        <w:rPr>
          <w:rFonts w:hint="default" w:ascii="Times New Roman" w:hAnsi="Times New Roman"/>
          <w:sz w:val="24"/>
        </w:rPr>
        <w:t>On the other hand, the fibroblast growth factor (FGF) family comprises 18 structurally related peptides that function through paracrine or endocrine signalling to regulate essential biological processes, including embryonic development, tissue repair, metabolism, cell proliferation, and apoptosis</w:t>
      </w:r>
      <w:r>
        <w:rPr>
          <w:rFonts w:hint="default" w:ascii="Times New Roman" w:hAnsi="Times New Roman" w:cs="Times New Roman"/>
          <w:sz w:val="24"/>
        </w:rPr>
        <w:fldChar w:fldCharType="begin"/>
      </w:r>
      <w:r>
        <w:rPr>
          <w:rFonts w:hint="default" w:ascii="Times New Roman" w:hAnsi="Times New Roman" w:cs="Times New Roman"/>
          <w:sz w:val="24"/>
          <w:lang w:eastAsia="zh-CN"/>
        </w:rPr>
        <w:instrText xml:space="preserve"> ADDIN EN.CITE </w:instrText>
      </w:r>
      <w:r>
        <w:rPr>
          <w:rFonts w:hint="default" w:ascii="Times New Roman" w:hAnsi="Times New Roman" w:cs="Times New Roman"/>
          <w:sz w:val="24"/>
          <w:lang w:eastAsia="zh-CN"/>
        </w:rPr>
        <w:fldChar w:fldCharType="begin"/>
      </w:r>
      <w:r>
        <w:rPr>
          <w:rFonts w:hint="default" w:ascii="Times New Roman" w:hAnsi="Times New Roman" w:cs="Times New Roman"/>
          <w:sz w:val="24"/>
          <w:lang w:eastAsia="zh-CN"/>
        </w:rPr>
        <w:instrText xml:space="preserve"> ADDIN EN.CITE.DATA </w:instrText>
      </w:r>
      <w:r>
        <w:rPr>
          <w:rFonts w:hint="default" w:ascii="Times New Roman" w:hAnsi="Times New Roman" w:cs="Times New Roman"/>
          <w:sz w:val="24"/>
          <w:lang w:eastAsia="zh-CN"/>
        </w:rPr>
        <w:fldChar w:fldCharType="separate"/>
      </w:r>
      <w:r>
        <w:rPr>
          <w:rFonts w:hint="default" w:ascii="Times New Roman" w:hAnsi="Times New Roman" w:cs="Times New Roman"/>
          <w:sz w:val="24"/>
          <w:lang w:eastAsia="zh-CN"/>
        </w:rPr>
        <w:fldChar w:fldCharType="end"/>
      </w:r>
      <w:r>
        <w:rPr>
          <w:rFonts w:hint="default" w:ascii="Times New Roman" w:hAnsi="Times New Roman" w:cs="Times New Roman"/>
          <w:sz w:val="24"/>
        </w:rPr>
        <w:fldChar w:fldCharType="separate"/>
      </w:r>
      <w:r>
        <w:rPr>
          <w:rFonts w:hint="default" w:ascii="Times New Roman" w:hAnsi="Times New Roman" w:eastAsia="SimSun" w:cs="Times New Roman"/>
          <w:kern w:val="2"/>
          <w:sz w:val="24"/>
          <w:szCs w:val="24"/>
          <w:vertAlign w:val="superscript"/>
          <w:lang w:val="en-US" w:eastAsia="zh-CN" w:bidi="ar-SA"/>
        </w:rPr>
        <w:t>8,9</w:t>
      </w:r>
      <w:r>
        <w:rPr>
          <w:rFonts w:hint="default" w:ascii="Times New Roman" w:hAnsi="Times New Roman" w:cs="Times New Roman"/>
          <w:sz w:val="24"/>
        </w:rPr>
        <w:fldChar w:fldCharType="end"/>
      </w:r>
      <w:r>
        <w:rPr>
          <w:rFonts w:hint="default" w:ascii="Times New Roman" w:hAnsi="Times New Roman" w:cs="Times New Roman"/>
          <w:sz w:val="23"/>
          <w:szCs w:val="23"/>
        </w:rPr>
        <w:t>.</w:t>
      </w:r>
      <w:r>
        <w:rPr>
          <w:rFonts w:hint="default"/>
          <w:lang w:val="en-US"/>
        </w:rPr>
        <w:t xml:space="preserve"> </w:t>
      </w:r>
      <w:r>
        <w:rPr>
          <w:rFonts w:hint="default" w:ascii="Times New Roman" w:hAnsi="Times New Roman"/>
          <w:sz w:val="24"/>
        </w:rPr>
        <w:t>In recent years, FGFR1 has been recognised not only for its oncogenic roles in various cancers, making it a target for anti-cancer therapy</w:t>
      </w:r>
      <w:r>
        <w:rPr>
          <w:rFonts w:hint="default" w:ascii="Times New Roman" w:hAnsi="Times New Roman" w:cs="Times New Roman"/>
          <w:sz w:val="24"/>
        </w:rPr>
        <w:fldChar w:fldCharType="begin"/>
      </w:r>
      <w:r>
        <w:rPr>
          <w:rFonts w:hint="default" w:ascii="Times New Roman" w:hAnsi="Times New Roman" w:cs="Times New Roman"/>
          <w:sz w:val="24"/>
          <w:lang w:eastAsia="zh-CN"/>
        </w:rPr>
        <w:instrText xml:space="preserve"> ADDIN EN.CITE </w:instrText>
      </w:r>
      <w:r>
        <w:rPr>
          <w:rFonts w:hint="default" w:ascii="Times New Roman" w:hAnsi="Times New Roman" w:cs="Times New Roman"/>
          <w:sz w:val="24"/>
          <w:lang w:eastAsia="zh-CN"/>
        </w:rPr>
        <w:fldChar w:fldCharType="begin"/>
      </w:r>
      <w:r>
        <w:rPr>
          <w:rFonts w:hint="default" w:ascii="Times New Roman" w:hAnsi="Times New Roman" w:cs="Times New Roman"/>
          <w:sz w:val="24"/>
          <w:lang w:eastAsia="zh-CN"/>
        </w:rPr>
        <w:instrText xml:space="preserve"> ADDIN EN.CITE.DATA </w:instrText>
      </w:r>
      <w:r>
        <w:rPr>
          <w:rFonts w:hint="default" w:ascii="Times New Roman" w:hAnsi="Times New Roman" w:cs="Times New Roman"/>
          <w:sz w:val="24"/>
          <w:lang w:eastAsia="zh-CN"/>
        </w:rPr>
        <w:fldChar w:fldCharType="separate"/>
      </w:r>
      <w:r>
        <w:rPr>
          <w:rFonts w:hint="default" w:ascii="Times New Roman" w:hAnsi="Times New Roman" w:cs="Times New Roman"/>
          <w:sz w:val="24"/>
          <w:lang w:eastAsia="zh-CN"/>
        </w:rPr>
        <w:fldChar w:fldCharType="end"/>
      </w:r>
      <w:r>
        <w:rPr>
          <w:rFonts w:hint="default" w:ascii="Times New Roman" w:hAnsi="Times New Roman" w:cs="Times New Roman"/>
          <w:sz w:val="24"/>
        </w:rPr>
        <w:fldChar w:fldCharType="separate"/>
      </w:r>
      <w:r>
        <w:rPr>
          <w:rFonts w:hint="default" w:ascii="Times New Roman" w:hAnsi="Times New Roman" w:eastAsia="SimSun" w:cs="Times New Roman"/>
          <w:kern w:val="2"/>
          <w:sz w:val="24"/>
          <w:szCs w:val="24"/>
          <w:vertAlign w:val="superscript"/>
          <w:lang w:val="en-US" w:eastAsia="zh-CN" w:bidi="ar-SA"/>
        </w:rPr>
        <w:t>10,11</w:t>
      </w:r>
      <w:r>
        <w:rPr>
          <w:rFonts w:hint="default" w:ascii="Times New Roman" w:hAnsi="Times New Roman" w:cs="Times New Roman"/>
          <w:sz w:val="24"/>
        </w:rPr>
        <w:fldChar w:fldCharType="end"/>
      </w:r>
      <w:r>
        <w:rPr>
          <w:rFonts w:hint="default" w:ascii="Times New Roman" w:hAnsi="Times New Roman" w:cs="Times New Roman"/>
          <w:sz w:val="23"/>
          <w:szCs w:val="23"/>
        </w:rPr>
        <w:t xml:space="preserve">, </w:t>
      </w:r>
      <w:r>
        <w:rPr>
          <w:rFonts w:hint="default" w:ascii="Times New Roman" w:hAnsi="Times New Roman"/>
          <w:sz w:val="24"/>
        </w:rPr>
        <w:t>but also for its involvement in CNS function, energy metabolism, and cognitive regulation</w:t>
      </w:r>
      <w:r>
        <w:rPr>
          <w:rFonts w:hint="default" w:ascii="Times New Roman" w:hAnsi="Times New Roman" w:cs="Times New Roman"/>
          <w:sz w:val="24"/>
        </w:rPr>
        <w:fldChar w:fldCharType="begin"/>
      </w:r>
      <w:r>
        <w:rPr>
          <w:rFonts w:hint="default" w:ascii="Times New Roman" w:hAnsi="Times New Roman" w:cs="Times New Roman"/>
          <w:sz w:val="24"/>
          <w:lang w:eastAsia="zh-CN"/>
        </w:rPr>
        <w:instrText xml:space="preserve"> ADDIN EN.CITE </w:instrText>
      </w:r>
      <w:r>
        <w:rPr>
          <w:rFonts w:hint="default" w:ascii="Times New Roman" w:hAnsi="Times New Roman" w:cs="Times New Roman"/>
          <w:sz w:val="24"/>
          <w:lang w:eastAsia="zh-CN"/>
        </w:rPr>
        <w:fldChar w:fldCharType="begin"/>
      </w:r>
      <w:r>
        <w:rPr>
          <w:rFonts w:hint="default" w:ascii="Times New Roman" w:hAnsi="Times New Roman" w:cs="Times New Roman"/>
          <w:sz w:val="24"/>
          <w:lang w:eastAsia="zh-CN"/>
        </w:rPr>
        <w:instrText xml:space="preserve"> ADDIN EN.CITE.DATA </w:instrText>
      </w:r>
      <w:r>
        <w:rPr>
          <w:rFonts w:hint="default" w:ascii="Times New Roman" w:hAnsi="Times New Roman" w:cs="Times New Roman"/>
          <w:sz w:val="24"/>
          <w:lang w:eastAsia="zh-CN"/>
        </w:rPr>
        <w:fldChar w:fldCharType="separate"/>
      </w:r>
      <w:r>
        <w:rPr>
          <w:rFonts w:hint="default" w:ascii="Times New Roman" w:hAnsi="Times New Roman" w:cs="Times New Roman"/>
          <w:sz w:val="24"/>
          <w:lang w:eastAsia="zh-CN"/>
        </w:rPr>
        <w:fldChar w:fldCharType="end"/>
      </w:r>
      <w:r>
        <w:rPr>
          <w:rFonts w:hint="default" w:ascii="Times New Roman" w:hAnsi="Times New Roman" w:cs="Times New Roman"/>
          <w:sz w:val="24"/>
        </w:rPr>
        <w:fldChar w:fldCharType="separate"/>
      </w:r>
      <w:r>
        <w:rPr>
          <w:rFonts w:hint="default" w:ascii="Times New Roman" w:hAnsi="Times New Roman" w:eastAsia="SimSun" w:cs="Times New Roman"/>
          <w:kern w:val="2"/>
          <w:sz w:val="24"/>
          <w:szCs w:val="24"/>
          <w:vertAlign w:val="superscript"/>
          <w:lang w:val="en-US" w:eastAsia="zh-CN" w:bidi="ar-SA"/>
        </w:rPr>
        <w:t>12,13</w:t>
      </w:r>
      <w:r>
        <w:rPr>
          <w:rFonts w:hint="default" w:ascii="Times New Roman" w:hAnsi="Times New Roman" w:cs="Times New Roman"/>
          <w:sz w:val="24"/>
        </w:rPr>
        <w:fldChar w:fldCharType="end"/>
      </w:r>
      <w:r>
        <w:rPr>
          <w:rFonts w:hint="default" w:ascii="Times New Roman" w:hAnsi="Times New Roman" w:cs="Times New Roman"/>
          <w:sz w:val="23"/>
          <w:szCs w:val="23"/>
        </w:rPr>
        <w:t>.</w:t>
      </w:r>
      <w:r>
        <w:rPr>
          <w:rFonts w:hint="default"/>
          <w:lang w:val="en-US"/>
        </w:rPr>
        <w:t xml:space="preserve"> </w:t>
      </w:r>
      <w:r>
        <w:rPr>
          <w:rFonts w:hint="default" w:ascii="Times New Roman" w:hAnsi="Times New Roman"/>
          <w:sz w:val="24"/>
        </w:rPr>
        <w:t>This receptor is gaining attention for its relevance in both metabolic and neurodegenerative diseases. Studies have shown that mice with neuron-specific deletion of FGFR1 exhibit impaired neurogenesis, reduced hippocampal long-term potentiation (LTP), and deficits in spatial memory, highlighting the critical role of FGFR1 in cognitive function</w:t>
      </w:r>
      <w:r>
        <w:rPr>
          <w:rFonts w:hint="default" w:ascii="Times New Roman" w:hAnsi="Times New Roman" w:cs="Times New Roman"/>
          <w:sz w:val="24"/>
        </w:rPr>
        <w:fldChar w:fldCharType="begin"/>
      </w:r>
      <w:r>
        <w:rPr>
          <w:rFonts w:hint="default" w:ascii="Times New Roman" w:hAnsi="Times New Roman" w:cs="Times New Roman"/>
          <w:sz w:val="24"/>
          <w:lang w:eastAsia="zh-CN"/>
        </w:rPr>
        <w:instrText xml:space="preserve"> ADDIN EN.CITE &lt;EndNote&gt;&lt;Cite&gt;&lt;Author&gt;Zhao&lt;/Author&gt;&lt;RecNum&gt;151&lt;/RecNum&gt;&lt;DisplayText&gt;&lt;style face="superscript"&gt;12&lt;/style&gt;&lt;/DisplayText&gt;&lt;record&gt;&lt;rec-number&gt;151&lt;/rec-number&gt;&lt;foreign-keys&gt;&lt;key app="EN" db-id="aapp02sfnrspwxe0tr3v0patrssarpe59a95" timestamp="1752065631"&gt;151&lt;/key&gt;&lt;/foreign-keys&gt;&lt;ref-type name="Journal Article"&gt;17&lt;/ref-type&gt;&lt;contributors&gt;&lt;authors&gt;&lt;author&gt;Zhao, M.&lt;/author&gt;&lt;author&gt;Li D Fau - Shimazu, Kazuhiro&lt;/author&gt;&lt;author&gt;Shimazu K Fau - Zhou, Yong-Xing&lt;/author&gt;&lt;author&gt;Zhou Yx Fau - Lu, Bai&lt;/author&gt;&lt;author&gt;Lu B Fau - Deng, Chu-Xia&lt;/author&gt;&lt;author&gt;Deng, C. X.&lt;/author&gt;&lt;/authors&gt;&lt;translated-authors&gt;&lt;author&gt;Biol, Psychiatry&lt;/author&gt;&lt;/translated-authors&gt;&lt;/contributors&gt;&lt;auth-address&gt;Section on Neural Development and Plasticity, Laboratory of Cellular &amp;amp; Synaptic Neurophysiology, National Institute of Child Health and Human Development, Bethesda, Maryland 20892, USA. FAU - Li, Dan&lt;/auth-address&gt;&lt;titles&gt;&lt;title&gt;Fibroblast growth factor receptor-1 is required for long-term potentiation, memory consolidation, and neurogenesis&lt;/title&gt;&lt;/titles&gt;&lt;number&gt;0006-3223 (Print)&lt;/number&gt;&lt;dates&gt;&lt;/dates&gt;&lt;urls&gt;&lt;/urls&gt;&lt;remote-database-provider&gt;2007 Sep 1&lt;/remote-database-provider&gt;&lt;research-notes&gt;0 (Glial Fibrillary Acidic Protein)&amp;#xD;0 (Intermediate Filament Proteins)&amp;#xD;0 (NES protein, human)&amp;#xD;0 (Nerve Tissue Proteins)&amp;#xD;0 (Nes protein, mouse)&amp;#xD;0 (Nestin)&amp;#xD;EC 2.7.10.1 (Fgfr1 protein, mouse)&amp;#xD;EC 2.7.10.1 (Receptor, Fibroblast Growth Factor, Type 1)&amp;#xD;EC 4.2.1.11 (Phosphopyruvate Hydratase)&amp;#xD;G34N38R2N1 (Bromodeoxyuridine)&lt;/research-notes&gt;&lt;language&gt;eng&lt;/language&gt;&lt;/record&gt;&lt;/Cite&gt;&lt;/EndNote&gt;</w:instrText>
      </w:r>
      <w:r>
        <w:rPr>
          <w:rFonts w:hint="default" w:ascii="Times New Roman" w:hAnsi="Times New Roman" w:cs="Times New Roman"/>
          <w:sz w:val="24"/>
        </w:rPr>
        <w:fldChar w:fldCharType="separate"/>
      </w:r>
      <w:r>
        <w:rPr>
          <w:rFonts w:hint="default" w:ascii="Times New Roman" w:hAnsi="Times New Roman" w:eastAsia="SimSun" w:cs="Times New Roman"/>
          <w:kern w:val="2"/>
          <w:sz w:val="24"/>
          <w:szCs w:val="24"/>
          <w:vertAlign w:val="superscript"/>
          <w:lang w:val="en-US" w:eastAsia="zh-CN" w:bidi="ar-SA"/>
        </w:rPr>
        <w:t>12</w:t>
      </w:r>
      <w:r>
        <w:rPr>
          <w:rFonts w:hint="default" w:ascii="Times New Roman" w:hAnsi="Times New Roman" w:cs="Times New Roman"/>
          <w:sz w:val="24"/>
        </w:rPr>
        <w:fldChar w:fldCharType="end"/>
      </w:r>
      <w:r>
        <w:rPr>
          <w:rFonts w:hint="default" w:ascii="Times New Roman" w:hAnsi="Times New Roman" w:cs="Times New Roman"/>
          <w:sz w:val="23"/>
          <w:szCs w:val="23"/>
        </w:rPr>
        <w:t>.</w:t>
      </w:r>
      <w:r>
        <w:rPr>
          <w:rFonts w:hint="default"/>
          <w:lang w:val="en-US"/>
        </w:rPr>
        <w:t xml:space="preserve"> </w:t>
      </w:r>
      <w:r>
        <w:rPr>
          <w:rFonts w:hint="default" w:ascii="Times New Roman" w:hAnsi="Times New Roman"/>
          <w:sz w:val="24"/>
        </w:rPr>
        <w:t>Furthermore, activation of the FGFR1/AMPK/GLUT4 signalling pathway in type 2 diabetic models improves cerebral glucose metabolism, alleviates synaptic dysfunction, and attenuates cognitive deficits; conversely, knockdown of FGFR1 in the brain abolishes these beneficial effects. Additional research has revealed that administering FGL, an FGFR1 agonist, enhances synaptic transmission and LTP in the hippocampus, leading to improved learning and memory abilities</w:t>
      </w:r>
      <w:r>
        <w:rPr>
          <w:rFonts w:hint="default" w:ascii="Times New Roman" w:hAnsi="Times New Roman" w:cs="Times New Roman"/>
          <w:sz w:val="24"/>
        </w:rPr>
        <w:fldChar w:fldCharType="begin"/>
      </w:r>
      <w:r>
        <w:rPr>
          <w:rFonts w:hint="default" w:ascii="Times New Roman" w:hAnsi="Times New Roman" w:cs="Times New Roman"/>
          <w:sz w:val="24"/>
          <w:lang w:eastAsia="zh-CN"/>
        </w:rPr>
        <w:instrText xml:space="preserve"> ADDIN EN.CITE </w:instrText>
      </w:r>
      <w:r>
        <w:rPr>
          <w:rFonts w:hint="default" w:ascii="Times New Roman" w:hAnsi="Times New Roman" w:cs="Times New Roman"/>
          <w:sz w:val="24"/>
          <w:lang w:eastAsia="zh-CN"/>
        </w:rPr>
        <w:fldChar w:fldCharType="begin"/>
      </w:r>
      <w:r>
        <w:rPr>
          <w:rFonts w:hint="default" w:ascii="Times New Roman" w:hAnsi="Times New Roman" w:cs="Times New Roman"/>
          <w:sz w:val="24"/>
          <w:lang w:eastAsia="zh-CN"/>
        </w:rPr>
        <w:instrText xml:space="preserve"> ADDIN EN.CITE.DATA </w:instrText>
      </w:r>
      <w:r>
        <w:rPr>
          <w:rFonts w:hint="default" w:ascii="Times New Roman" w:hAnsi="Times New Roman" w:cs="Times New Roman"/>
          <w:sz w:val="24"/>
          <w:lang w:eastAsia="zh-CN"/>
        </w:rPr>
        <w:fldChar w:fldCharType="separate"/>
      </w:r>
      <w:r>
        <w:rPr>
          <w:rFonts w:hint="default" w:ascii="Times New Roman" w:hAnsi="Times New Roman" w:cs="Times New Roman"/>
          <w:sz w:val="24"/>
          <w:lang w:eastAsia="zh-CN"/>
        </w:rPr>
        <w:fldChar w:fldCharType="end"/>
      </w:r>
      <w:r>
        <w:rPr>
          <w:rFonts w:hint="default" w:ascii="Times New Roman" w:hAnsi="Times New Roman" w:cs="Times New Roman"/>
          <w:sz w:val="24"/>
        </w:rPr>
        <w:fldChar w:fldCharType="separate"/>
      </w:r>
      <w:r>
        <w:rPr>
          <w:rFonts w:hint="default" w:ascii="Times New Roman" w:hAnsi="Times New Roman" w:eastAsia="SimSun" w:cs="Times New Roman"/>
          <w:kern w:val="2"/>
          <w:sz w:val="24"/>
          <w:szCs w:val="24"/>
          <w:vertAlign w:val="superscript"/>
          <w:lang w:val="en-US" w:eastAsia="zh-CN" w:bidi="ar-SA"/>
        </w:rPr>
        <w:t>13</w:t>
      </w:r>
      <w:r>
        <w:rPr>
          <w:rFonts w:hint="default" w:ascii="Times New Roman" w:hAnsi="Times New Roman" w:cs="Times New Roman"/>
          <w:sz w:val="24"/>
        </w:rPr>
        <w:fldChar w:fldCharType="end"/>
      </w:r>
      <w:r>
        <w:rPr>
          <w:rFonts w:hint="default" w:ascii="Times New Roman" w:hAnsi="Times New Roman" w:cs="Times New Roman"/>
          <w:sz w:val="23"/>
          <w:szCs w:val="23"/>
        </w:rPr>
        <w:t xml:space="preserve">. </w:t>
      </w:r>
      <w:r>
        <w:rPr>
          <w:rFonts w:hint="default" w:ascii="Times New Roman" w:hAnsi="Times New Roman"/>
          <w:sz w:val="24"/>
        </w:rPr>
        <w:t>Despite the therapeutic promise of GLP-1R and FGFR1 as key targets for glycemic control, their roles and potential crosstalk in the development of diabetes-related neuropsychological complications remain poorly understood.</w:t>
      </w:r>
    </w:p>
    <w:p w14:paraId="052099A7">
      <w:pPr>
        <w:spacing w:line="300" w:lineRule="auto"/>
        <w:ind w:firstLine="480" w:firstLineChars="200"/>
        <w:jc w:val="both"/>
        <w:rPr>
          <w:rFonts w:hint="default" w:ascii="Times New Roman" w:hAnsi="Times New Roman" w:cs="Times New Roman"/>
          <w:sz w:val="24"/>
        </w:rPr>
      </w:pPr>
      <w:r>
        <w:rPr>
          <w:rFonts w:hint="default" w:ascii="Times New Roman" w:hAnsi="Times New Roman"/>
          <w:sz w:val="24"/>
        </w:rPr>
        <w:t>This research proposal aims to systematically investigate the mechanistic roles of GLP-1R and FGFR1 in diabetic encephalopathy using streptozotocin (STZ)-induced diabetic mouse models and genetically diabetic db/db mice models. By integrating behavioural assessments, molecular biology techniques (including multi-omics technologies), and pharmacological interventions, we intend to explore the individual and synergistic contributions of these two pathways in modulating hippocampal neural circuit function. The findings are expected to reveal novel molecular mechanisms involving GLP-1R and FGFR1 in diabetic brain dysfunction, providing a theoretical basis for developing multitargeted therapeutic strategies. This research also holds translational value for extending the application of metabolism-targeting agents in the treatment of neurodegenerative disorders.</w:t>
      </w:r>
    </w:p>
    <w:p w14:paraId="4A679533">
      <w:pPr>
        <w:spacing w:line="300" w:lineRule="auto"/>
        <w:jc w:val="both"/>
        <w:rPr>
          <w:rFonts w:hint="default" w:ascii="Times New Roman" w:hAnsi="Times New Roman" w:cs="Times New Roman"/>
          <w:sz w:val="23"/>
          <w:szCs w:val="23"/>
        </w:rPr>
      </w:pPr>
    </w:p>
    <w:p w14:paraId="0D4770B0">
      <w:pPr>
        <w:spacing w:line="300" w:lineRule="auto"/>
        <w:jc w:val="both"/>
        <w:rPr>
          <w:rFonts w:hint="default" w:ascii="Times New Roman" w:hAnsi="Times New Roman" w:cs="Times New Roman"/>
          <w:b/>
          <w:bCs/>
          <w:sz w:val="23"/>
          <w:szCs w:val="23"/>
        </w:rPr>
      </w:pPr>
      <w:r>
        <w:rPr>
          <w:rFonts w:hint="default" w:ascii="Times New Roman" w:hAnsi="Times New Roman" w:cs="Times New Roman"/>
          <w:b/>
          <w:bCs/>
          <w:sz w:val="23"/>
          <w:szCs w:val="23"/>
        </w:rPr>
        <w:t>Methods：</w:t>
      </w:r>
    </w:p>
    <w:p w14:paraId="0A61DA7C">
      <w:pPr>
        <w:spacing w:line="300" w:lineRule="auto"/>
        <w:jc w:val="both"/>
        <w:rPr>
          <w:rFonts w:hint="default" w:ascii="Times New Roman" w:hAnsi="Times New Roman" w:cs="Times New Roman"/>
          <w:b/>
          <w:bCs/>
          <w:sz w:val="24"/>
        </w:rPr>
      </w:pPr>
      <w:r>
        <w:rPr>
          <w:rFonts w:hint="default" w:ascii="Times New Roman" w:hAnsi="Times New Roman" w:cs="Times New Roman"/>
          <w:b/>
          <w:bCs/>
          <w:sz w:val="24"/>
        </w:rPr>
        <w:t>STZ-Induced Diabetes Model:</w:t>
      </w:r>
    </w:p>
    <w:p w14:paraId="1172E0E2">
      <w:pPr>
        <w:spacing w:line="300" w:lineRule="auto"/>
        <w:ind w:firstLine="480" w:firstLineChars="200"/>
        <w:jc w:val="both"/>
        <w:rPr>
          <w:rFonts w:hint="default" w:ascii="Times New Roman" w:hAnsi="Times New Roman" w:cs="Times New Roman"/>
          <w:sz w:val="24"/>
        </w:rPr>
      </w:pPr>
      <w:r>
        <w:rPr>
          <w:rFonts w:hint="default" w:ascii="Times New Roman" w:hAnsi="Times New Roman"/>
          <w:sz w:val="24"/>
        </w:rPr>
        <w:t>Eight-week-old male C57BL/6J mice will be used. Type 1 diabetes will be induced via intraperitoneal injection of streptozotocin (STZ; 50 mg/kg, dissolved in 0.1 M citrate buffer, pH 4.5) for five consecutive days. Control animals will receive the same volume of citrate buffer. Seventy-two hours after the final injection, fasting blood glucose levels will be measured. Mice with glucose levels &gt;16.7 mmol/L will be considered successfully modelled.</w:t>
      </w:r>
    </w:p>
    <w:p w14:paraId="2C8FB527">
      <w:pPr>
        <w:spacing w:line="300" w:lineRule="auto"/>
        <w:jc w:val="both"/>
        <w:rPr>
          <w:rFonts w:hint="default" w:ascii="Times New Roman" w:hAnsi="Times New Roman" w:cs="Times New Roman"/>
          <w:b/>
          <w:bCs/>
          <w:sz w:val="24"/>
        </w:rPr>
      </w:pPr>
      <w:r>
        <w:rPr>
          <w:rFonts w:hint="default" w:ascii="Times New Roman" w:hAnsi="Times New Roman" w:cs="Times New Roman"/>
          <w:b/>
          <w:bCs/>
          <w:sz w:val="24"/>
        </w:rPr>
        <w:t xml:space="preserve">RNA Extraction and qPCR: </w:t>
      </w:r>
    </w:p>
    <w:p w14:paraId="1B8387FE">
      <w:pPr>
        <w:spacing w:line="30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Total RNA from hippocampal tissue will be extracted using TRIzol reagent. cDNA will be synthesi</w:t>
      </w:r>
      <w:r>
        <w:rPr>
          <w:rFonts w:hint="default" w:ascii="Times New Roman" w:hAnsi="Times New Roman" w:cs="Times New Roman"/>
          <w:sz w:val="24"/>
          <w:lang w:val="en-US"/>
        </w:rPr>
        <w:t>s</w:t>
      </w:r>
      <w:r>
        <w:rPr>
          <w:rFonts w:hint="default" w:ascii="Times New Roman" w:hAnsi="Times New Roman" w:cs="Times New Roman"/>
          <w:sz w:val="24"/>
        </w:rPr>
        <w:t>ed using a reverse transcription kit, and quantitative real-time PCR (qPCR) will be performed with SYBR Green using ABI or Bio-Rad qPCR instruments. GAPDH will serve as an internal control, and relative expression will be calculated using the 2^-ΔΔCt method. Primers will be designed using Primer-BLAST and validated by gradient PCR.</w:t>
      </w:r>
    </w:p>
    <w:p w14:paraId="46AC3B75">
      <w:pPr>
        <w:spacing w:line="300" w:lineRule="auto"/>
        <w:jc w:val="both"/>
        <w:rPr>
          <w:rFonts w:hint="default" w:ascii="Times New Roman" w:hAnsi="Times New Roman" w:cs="Times New Roman"/>
          <w:b/>
          <w:bCs/>
          <w:sz w:val="24"/>
        </w:rPr>
      </w:pPr>
      <w:r>
        <w:rPr>
          <w:rFonts w:hint="default" w:ascii="Times New Roman" w:hAnsi="Times New Roman" w:cs="Times New Roman"/>
          <w:b/>
          <w:bCs/>
          <w:sz w:val="24"/>
        </w:rPr>
        <w:t>Stereotactic Injection:</w:t>
      </w:r>
    </w:p>
    <w:p w14:paraId="0A303EB6">
      <w:pPr>
        <w:spacing w:line="300" w:lineRule="auto"/>
        <w:ind w:firstLine="480" w:firstLineChars="200"/>
        <w:jc w:val="both"/>
        <w:rPr>
          <w:rFonts w:hint="default" w:ascii="Times New Roman" w:hAnsi="Times New Roman" w:cs="Times New Roman"/>
          <w:sz w:val="24"/>
        </w:rPr>
      </w:pPr>
      <w:r>
        <w:rPr>
          <w:rFonts w:hint="default" w:ascii="Times New Roman" w:hAnsi="Times New Roman"/>
          <w:sz w:val="24"/>
        </w:rPr>
        <w:t>Mice will be anesthetised and secured in a stereotaxic frame. Referring to the Paxinos and Franklin brain atlas, 150 nL of AAV virus will be injected into the hippocampus at a rate of 0.5 nL/min. The needle will be left in place for 10 minutes before slow withdrawal. Mice will be housed for 4-6 weeks post-injection to allow for sufficient viral expression.</w:t>
      </w:r>
    </w:p>
    <w:p w14:paraId="62E0893A">
      <w:pPr>
        <w:spacing w:line="300" w:lineRule="auto"/>
        <w:jc w:val="both"/>
        <w:rPr>
          <w:rFonts w:hint="default" w:ascii="Times New Roman" w:hAnsi="Times New Roman" w:cs="Times New Roman"/>
          <w:sz w:val="24"/>
        </w:rPr>
      </w:pPr>
      <w:r>
        <w:rPr>
          <w:rFonts w:hint="default" w:ascii="Times New Roman" w:hAnsi="Times New Roman" w:cs="Times New Roman"/>
          <w:sz w:val="24"/>
        </w:rPr>
        <w:t xml:space="preserve">Behavioral Testing: </w:t>
      </w:r>
    </w:p>
    <w:p w14:paraId="650BF28A">
      <w:pPr>
        <w:spacing w:line="30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Starting at week 6 post-modeling, mice will undergo a battery of behavio</w:t>
      </w:r>
      <w:r>
        <w:rPr>
          <w:rFonts w:hint="default" w:ascii="Times New Roman" w:hAnsi="Times New Roman" w:cs="Times New Roman"/>
          <w:sz w:val="24"/>
          <w:lang w:val="en-US"/>
        </w:rPr>
        <w:t>u</w:t>
      </w:r>
      <w:r>
        <w:rPr>
          <w:rFonts w:hint="default" w:ascii="Times New Roman" w:hAnsi="Times New Roman" w:cs="Times New Roman"/>
          <w:sz w:val="24"/>
        </w:rPr>
        <w:t>ral tests:</w:t>
      </w:r>
    </w:p>
    <w:p w14:paraId="18206141">
      <w:pPr>
        <w:spacing w:line="30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1, Open Field Test (OFT): Evaluates spontaneous activity and anxiety. Mice will explore a 40 × 40 cm open box for 10 minutes. Total movement and time spent in the center area will be recorded.</w:t>
      </w:r>
    </w:p>
    <w:p w14:paraId="3B815143">
      <w:pPr>
        <w:spacing w:line="30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2, Novel Object Recognition (NOR): Assesses recognition memory. Mice are first familiari</w:t>
      </w:r>
      <w:r>
        <w:rPr>
          <w:rFonts w:hint="default" w:ascii="Times New Roman" w:hAnsi="Times New Roman" w:cs="Times New Roman"/>
          <w:sz w:val="24"/>
          <w:lang w:val="en-US"/>
        </w:rPr>
        <w:t>s</w:t>
      </w:r>
      <w:r>
        <w:rPr>
          <w:rFonts w:hint="default" w:ascii="Times New Roman" w:hAnsi="Times New Roman" w:cs="Times New Roman"/>
          <w:sz w:val="24"/>
        </w:rPr>
        <w:t>ed with two identical objects. After 2 hours, one object is replaced with a novel one. The discrimination index will be calculated.</w:t>
      </w:r>
    </w:p>
    <w:p w14:paraId="249A3A09">
      <w:pPr>
        <w:spacing w:line="30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3, Y-Maze Test: Assesses spatial memory. Mice will explore two open arms of a Y-shaped maze for 5 minutes (training). After 1 hour, they will explore all three arms for 5 minutes (testing). Preference for the novel arm is analyzed.</w:t>
      </w:r>
    </w:p>
    <w:p w14:paraId="6316D5A1">
      <w:pPr>
        <w:spacing w:line="30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4, Barnes Maze: Assesses spatial learning and memory. Mice will receive one 3-minute training session per day for five days. Escape latency and error entries will be recorded.</w:t>
      </w:r>
    </w:p>
    <w:p w14:paraId="096CB50F">
      <w:pPr>
        <w:spacing w:line="30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5, Elevated Plus Maze (EPM): Measures anxiety-like behavio</w:t>
      </w:r>
      <w:r>
        <w:rPr>
          <w:rFonts w:hint="default" w:ascii="Times New Roman" w:hAnsi="Times New Roman" w:cs="Times New Roman"/>
          <w:sz w:val="24"/>
          <w:lang w:val="en-US"/>
        </w:rPr>
        <w:t>u</w:t>
      </w:r>
      <w:r>
        <w:rPr>
          <w:rFonts w:hint="default" w:ascii="Times New Roman" w:hAnsi="Times New Roman" w:cs="Times New Roman"/>
          <w:sz w:val="24"/>
        </w:rPr>
        <w:t>r. Time spent and entries into open vs. closed arms will be recorded.</w:t>
      </w:r>
    </w:p>
    <w:p w14:paraId="6ED9199B">
      <w:pPr>
        <w:spacing w:line="30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6, Forced Swim Test (FST): Measures depressive-like behavio</w:t>
      </w:r>
      <w:r>
        <w:rPr>
          <w:rFonts w:hint="default" w:ascii="Times New Roman" w:hAnsi="Times New Roman" w:cs="Times New Roman"/>
          <w:sz w:val="24"/>
          <w:lang w:val="en-US"/>
        </w:rPr>
        <w:t>u</w:t>
      </w:r>
      <w:r>
        <w:rPr>
          <w:rFonts w:hint="default" w:ascii="Times New Roman" w:hAnsi="Times New Roman" w:cs="Times New Roman"/>
          <w:sz w:val="24"/>
        </w:rPr>
        <w:t>r. Mice will be placed in water for 6 minutes; immobility time during the last 4 minutes will be quantified.</w:t>
      </w:r>
    </w:p>
    <w:p w14:paraId="4336630D">
      <w:pPr>
        <w:spacing w:line="300" w:lineRule="auto"/>
        <w:jc w:val="both"/>
        <w:rPr>
          <w:rFonts w:hint="default" w:ascii="Times New Roman" w:hAnsi="Times New Roman" w:cs="Times New Roman"/>
          <w:b/>
          <w:bCs/>
          <w:sz w:val="24"/>
        </w:rPr>
      </w:pPr>
      <w:r>
        <w:rPr>
          <w:rFonts w:hint="default" w:ascii="Times New Roman" w:hAnsi="Times New Roman" w:cs="Times New Roman"/>
          <w:b/>
          <w:bCs/>
          <w:sz w:val="24"/>
        </w:rPr>
        <w:t>Electrophysiology:</w:t>
      </w:r>
    </w:p>
    <w:p w14:paraId="211F947D">
      <w:pPr>
        <w:spacing w:line="30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Acute hippocampal slices (300 µm) will be prepared. After acute brain slice preparation, whole-cell patch-clamp recording was used to measure the basal synaptic transmission properties of pyramidal neurons in the hippocampal CA1 region, and long-term potentiation (LTP) was induced by high-frequency stimulation. Schaffer collateral stimulation will be used to evoke LTP (HFS, 100 Hz for 1 s), and fEPSP slope changes will be recorded for at least 60 minutes. Data will be analy</w:t>
      </w:r>
      <w:r>
        <w:rPr>
          <w:rFonts w:hint="default" w:ascii="Times New Roman" w:hAnsi="Times New Roman" w:cs="Times New Roman"/>
          <w:sz w:val="24"/>
          <w:lang w:val="en-US"/>
        </w:rPr>
        <w:t>s</w:t>
      </w:r>
      <w:r>
        <w:rPr>
          <w:rFonts w:hint="default" w:ascii="Times New Roman" w:hAnsi="Times New Roman" w:cs="Times New Roman"/>
          <w:sz w:val="24"/>
        </w:rPr>
        <w:t>ed using pCLAMP and Clampfit software.</w:t>
      </w:r>
    </w:p>
    <w:p w14:paraId="6B3346E6">
      <w:pPr>
        <w:spacing w:line="300" w:lineRule="auto"/>
        <w:jc w:val="both"/>
        <w:rPr>
          <w:rFonts w:hint="default" w:ascii="Times New Roman" w:hAnsi="Times New Roman" w:cs="Times New Roman"/>
          <w:b/>
          <w:bCs/>
          <w:sz w:val="24"/>
        </w:rPr>
      </w:pPr>
      <w:r>
        <w:rPr>
          <w:rFonts w:hint="default" w:ascii="Times New Roman" w:hAnsi="Times New Roman" w:cs="Times New Roman"/>
          <w:b/>
          <w:bCs/>
          <w:sz w:val="24"/>
        </w:rPr>
        <w:t>RNAscope In Situ Hybridi</w:t>
      </w:r>
      <w:r>
        <w:rPr>
          <w:rFonts w:hint="default" w:ascii="Times New Roman" w:hAnsi="Times New Roman" w:cs="Times New Roman"/>
          <w:b/>
          <w:bCs/>
          <w:sz w:val="24"/>
          <w:lang w:val="en-US"/>
        </w:rPr>
        <w:t>s</w:t>
      </w:r>
      <w:r>
        <w:rPr>
          <w:rFonts w:hint="default" w:ascii="Times New Roman" w:hAnsi="Times New Roman" w:cs="Times New Roman"/>
          <w:b/>
          <w:bCs/>
          <w:sz w:val="24"/>
        </w:rPr>
        <w:t xml:space="preserve">ation: </w:t>
      </w:r>
    </w:p>
    <w:p w14:paraId="2D41990A">
      <w:pPr>
        <w:spacing w:line="30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RNAscope® will be used to detect specific mRNA distribution in brain tissue sections. Paraffin or cryosections will be pre-treated, hybridi</w:t>
      </w:r>
      <w:r>
        <w:rPr>
          <w:rFonts w:hint="default" w:ascii="Times New Roman" w:hAnsi="Times New Roman" w:cs="Times New Roman"/>
          <w:sz w:val="24"/>
          <w:lang w:val="en-US"/>
        </w:rPr>
        <w:t>s</w:t>
      </w:r>
      <w:r>
        <w:rPr>
          <w:rFonts w:hint="default" w:ascii="Times New Roman" w:hAnsi="Times New Roman" w:cs="Times New Roman"/>
          <w:sz w:val="24"/>
        </w:rPr>
        <w:t>ed with specific probes, followed by signal amplification and chromogenic or fluorescent detection. DAPI will be used to label nuclei. Images will be analyzed with ImageJ or CellProfiler.</w:t>
      </w:r>
    </w:p>
    <w:p w14:paraId="7E3D23E0">
      <w:pPr>
        <w:spacing w:line="300" w:lineRule="auto"/>
        <w:jc w:val="both"/>
        <w:rPr>
          <w:rFonts w:hint="default" w:ascii="Times New Roman" w:hAnsi="Times New Roman" w:cs="Times New Roman"/>
          <w:sz w:val="24"/>
        </w:rPr>
      </w:pPr>
      <w:r>
        <w:rPr>
          <w:rFonts w:hint="default" w:ascii="Times New Roman" w:hAnsi="Times New Roman" w:cs="Times New Roman"/>
          <w:b/>
          <w:bCs/>
          <w:sz w:val="24"/>
        </w:rPr>
        <w:t>Immunofluorescence:</w:t>
      </w:r>
      <w:r>
        <w:rPr>
          <w:rFonts w:hint="default" w:ascii="Times New Roman" w:hAnsi="Times New Roman" w:cs="Times New Roman"/>
          <w:sz w:val="24"/>
        </w:rPr>
        <w:t xml:space="preserve"> </w:t>
      </w:r>
    </w:p>
    <w:p w14:paraId="6A9FF545">
      <w:pPr>
        <w:spacing w:line="30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Tissues or cells will be fixed with 4% paraformaldehyde, permeabilized with 0.3% Triton X-100, and blocked with 5% BSA. Primary antibodies (e.g., anti-FGFR1, NeuN, GFAP) will be incubated overnight, followed by fluorescent secondary antibodies. DAPI will counterstain nuclei. Images will be acquired via confocal microscopy and analy</w:t>
      </w:r>
      <w:r>
        <w:rPr>
          <w:rFonts w:hint="default" w:ascii="Times New Roman" w:hAnsi="Times New Roman" w:cs="Times New Roman"/>
          <w:sz w:val="24"/>
          <w:lang w:val="en-US"/>
        </w:rPr>
        <w:t>s</w:t>
      </w:r>
      <w:r>
        <w:rPr>
          <w:rFonts w:hint="default" w:ascii="Times New Roman" w:hAnsi="Times New Roman" w:cs="Times New Roman"/>
          <w:sz w:val="24"/>
        </w:rPr>
        <w:t>ed using ImageJ.</w:t>
      </w:r>
    </w:p>
    <w:p w14:paraId="44195B2F">
      <w:pPr>
        <w:spacing w:line="300" w:lineRule="auto"/>
        <w:jc w:val="both"/>
        <w:rPr>
          <w:rFonts w:hint="default" w:ascii="Times New Roman" w:hAnsi="Times New Roman" w:cs="Times New Roman"/>
          <w:b/>
          <w:bCs/>
          <w:sz w:val="24"/>
        </w:rPr>
      </w:pPr>
      <w:r>
        <w:rPr>
          <w:rFonts w:hint="default" w:ascii="Times New Roman" w:hAnsi="Times New Roman" w:cs="Times New Roman"/>
          <w:b/>
          <w:bCs/>
          <w:sz w:val="24"/>
        </w:rPr>
        <w:t xml:space="preserve">Statistical Analysis: </w:t>
      </w:r>
    </w:p>
    <w:p w14:paraId="77D73D1A">
      <w:pPr>
        <w:spacing w:line="30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Data will be presented as mean ± standard deviation (s.d.). For two-group comparisons,</w:t>
      </w:r>
      <w:r>
        <w:rPr>
          <w:rFonts w:hint="default" w:ascii="Times New Roman" w:hAnsi="Times New Roman" w:cs="Times New Roman"/>
          <w:sz w:val="24"/>
          <w:lang w:val="en-US"/>
        </w:rPr>
        <w:t xml:space="preserve"> an</w:t>
      </w:r>
      <w:r>
        <w:rPr>
          <w:rFonts w:hint="default" w:ascii="Times New Roman" w:hAnsi="Times New Roman" w:cs="Times New Roman"/>
          <w:sz w:val="24"/>
        </w:rPr>
        <w:t xml:space="preserve"> unpaired two-tailed Student’s t-test will be used. For multiple-group comparisons, one-way ANOVA will be applied using SPSS 26 and GraphPad Prism 9.5.1. Statistical significance will be set at *P &lt; 0.05; **P &lt; 0.01; ***P &lt; 0.001; ****P &lt; 0.0001.</w:t>
      </w:r>
    </w:p>
    <w:p w14:paraId="71EACC06">
      <w:pPr>
        <w:spacing w:line="300" w:lineRule="auto"/>
        <w:jc w:val="both"/>
        <w:rPr>
          <w:rFonts w:hint="default" w:ascii="Times New Roman" w:hAnsi="Times New Roman" w:cs="Times New Roman"/>
          <w:sz w:val="23"/>
          <w:szCs w:val="23"/>
        </w:rPr>
      </w:pPr>
    </w:p>
    <w:p w14:paraId="1CD62FC5">
      <w:pPr>
        <w:spacing w:line="300" w:lineRule="auto"/>
        <w:jc w:val="both"/>
        <w:rPr>
          <w:rFonts w:hint="default" w:ascii="Times New Roman" w:hAnsi="Times New Roman" w:cs="Times New Roman"/>
          <w:b/>
          <w:bCs/>
          <w:sz w:val="23"/>
          <w:szCs w:val="23"/>
        </w:rPr>
      </w:pPr>
      <w:r>
        <w:rPr>
          <w:rFonts w:hint="default" w:ascii="Times New Roman" w:hAnsi="Times New Roman" w:cs="Times New Roman"/>
          <w:b/>
          <w:bCs/>
          <w:sz w:val="23"/>
          <w:szCs w:val="23"/>
        </w:rPr>
        <w:t>Research plan：</w:t>
      </w:r>
    </w:p>
    <w:p w14:paraId="43BC46A4">
      <w:pPr>
        <w:spacing w:line="300" w:lineRule="auto"/>
        <w:jc w:val="both"/>
        <w:rPr>
          <w:rFonts w:hint="default" w:ascii="Times New Roman" w:hAnsi="Times New Roman" w:cs="Times New Roman"/>
          <w:b/>
          <w:bCs/>
          <w:sz w:val="24"/>
        </w:rPr>
      </w:pPr>
      <w:r>
        <w:rPr>
          <w:rFonts w:hint="default" w:ascii="Times New Roman" w:hAnsi="Times New Roman" w:cs="Times New Roman"/>
          <w:b/>
          <w:bCs/>
          <w:sz w:val="23"/>
          <w:szCs w:val="23"/>
        </w:rPr>
        <w:t>1</w:t>
      </w:r>
      <w:r>
        <w:rPr>
          <w:rFonts w:hint="default" w:ascii="Times New Roman" w:hAnsi="Times New Roman" w:cs="Times New Roman"/>
          <w:b/>
          <w:bCs/>
          <w:sz w:val="23"/>
          <w:szCs w:val="23"/>
          <w:lang w:val="en-US"/>
        </w:rPr>
        <w:t>.</w:t>
      </w:r>
      <w:r>
        <w:rPr>
          <w:rFonts w:hint="default" w:ascii="Times New Roman" w:hAnsi="Times New Roman" w:cs="Times New Roman"/>
          <w:b/>
          <w:bCs/>
          <w:sz w:val="23"/>
          <w:szCs w:val="23"/>
        </w:rPr>
        <w:t xml:space="preserve"> </w:t>
      </w:r>
      <w:r>
        <w:rPr>
          <w:rFonts w:hint="default" w:ascii="Times New Roman" w:hAnsi="Times New Roman" w:cs="Times New Roman"/>
          <w:b/>
          <w:bCs/>
          <w:sz w:val="24"/>
        </w:rPr>
        <w:t xml:space="preserve">Animal Models and Experimental Design </w:t>
      </w:r>
    </w:p>
    <w:p w14:paraId="3B9578DA">
      <w:pPr>
        <w:spacing w:line="300" w:lineRule="auto"/>
        <w:jc w:val="both"/>
        <w:rPr>
          <w:rFonts w:hint="default" w:ascii="Times New Roman" w:hAnsi="Times New Roman" w:cs="Times New Roman"/>
          <w:sz w:val="24"/>
        </w:rPr>
      </w:pPr>
      <w:r>
        <w:rPr>
          <w:rFonts w:hint="default" w:ascii="Times New Roman" w:hAnsi="Times New Roman" w:cs="Times New Roman"/>
          <w:sz w:val="24"/>
        </w:rPr>
        <w:t>This project will employ STZ-induced type 1 diabetic mice and db/db type 2 diabetic mice to explore the roles of GLP-1R and FGFR1 in diabetes-related cognitive impairment. The study will integrate stereotactic injection, pharmacological intervention, electrophysiology, and behavio</w:t>
      </w:r>
      <w:r>
        <w:rPr>
          <w:rFonts w:hint="default" w:ascii="Times New Roman" w:hAnsi="Times New Roman" w:cs="Times New Roman"/>
          <w:sz w:val="24"/>
          <w:lang w:val="en-US"/>
        </w:rPr>
        <w:t>u</w:t>
      </w:r>
      <w:r>
        <w:rPr>
          <w:rFonts w:hint="default" w:ascii="Times New Roman" w:hAnsi="Times New Roman" w:cs="Times New Roman"/>
          <w:sz w:val="24"/>
        </w:rPr>
        <w:t>ral assessments. The research will proceed in five stages:</w:t>
      </w:r>
    </w:p>
    <w:p w14:paraId="5B8BEDCD">
      <w:pPr>
        <w:spacing w:line="30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Phase 1: Model Establishment and Phenotypic Validation Type 1 diabetes will be induced using STZ injections (50 mg/kg/day for 5 days). Cognitive phenotypes will be assessed at weeks 4, 8, and 12 post-induction using OFT, NOR, Y-maze, and Barnes Maze tests. Db/db mice will serve as a complementary model for type 2 diabetes.</w:t>
      </w:r>
    </w:p>
    <w:p w14:paraId="0A576F24">
      <w:pPr>
        <w:spacing w:line="30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Phase 2: Locali</w:t>
      </w:r>
      <w:r>
        <w:rPr>
          <w:rFonts w:hint="default" w:ascii="Times New Roman" w:hAnsi="Times New Roman" w:cs="Times New Roman"/>
          <w:sz w:val="24"/>
          <w:lang w:val="en-US"/>
        </w:rPr>
        <w:t>s</w:t>
      </w:r>
      <w:r>
        <w:rPr>
          <w:rFonts w:hint="default" w:ascii="Times New Roman" w:hAnsi="Times New Roman" w:cs="Times New Roman"/>
          <w:sz w:val="24"/>
        </w:rPr>
        <w:t>ation and Expression of GLP-1R and FGFR1 in the Hippocampus RNAscope and immunofluorescence will assess spatial distribution and expression levels of GLP-1R and FGFR1 in hippocampal subregions, with quantitative validation via Western blot.</w:t>
      </w:r>
    </w:p>
    <w:p w14:paraId="7CA38C9E">
      <w:pPr>
        <w:spacing w:line="30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Phase 3: Functional Knockdown Studies Using AAV-shRNA or Cre-loxP systems, GLP-1R or FGFR1 will be specifically knocked down in the hippocampal CA3 region. Behavio</w:t>
      </w:r>
      <w:r>
        <w:rPr>
          <w:rFonts w:hint="default" w:ascii="Times New Roman" w:hAnsi="Times New Roman" w:cs="Times New Roman"/>
          <w:sz w:val="24"/>
          <w:lang w:val="en-US"/>
        </w:rPr>
        <w:t>u</w:t>
      </w:r>
      <w:r>
        <w:rPr>
          <w:rFonts w:hint="default" w:ascii="Times New Roman" w:hAnsi="Times New Roman" w:cs="Times New Roman"/>
          <w:sz w:val="24"/>
        </w:rPr>
        <w:t>ral tests will assess cognitive performance pre- and post-knockdown.</w:t>
      </w:r>
    </w:p>
    <w:p w14:paraId="0C3B8DAC">
      <w:pPr>
        <w:spacing w:line="30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Phase 4: Pharmacological Activation STZ or db/db mice will receive GLP-1R agonists (e.g., liraglutide, semaglutide) or FGFR1 agonists (e.g., FGF1, FGF4) via intraperitoneal or intracerebroventricular injection. Behavio</w:t>
      </w:r>
      <w:r>
        <w:rPr>
          <w:rFonts w:hint="default" w:ascii="Times New Roman" w:hAnsi="Times New Roman" w:cs="Times New Roman"/>
          <w:sz w:val="24"/>
          <w:lang w:val="en-US"/>
        </w:rPr>
        <w:t>u</w:t>
      </w:r>
      <w:r>
        <w:rPr>
          <w:rFonts w:hint="default" w:ascii="Times New Roman" w:hAnsi="Times New Roman" w:cs="Times New Roman"/>
          <w:sz w:val="24"/>
        </w:rPr>
        <w:t>ral and electrophysiological evaluations will measure cognitive improvements and synaptic plasticity.</w:t>
      </w:r>
    </w:p>
    <w:p w14:paraId="1C2E1151">
      <w:pPr>
        <w:spacing w:line="300" w:lineRule="auto"/>
        <w:ind w:firstLine="480" w:firstLineChars="200"/>
        <w:jc w:val="both"/>
        <w:rPr>
          <w:rFonts w:hint="default" w:ascii="Times New Roman" w:hAnsi="Times New Roman" w:cs="Times New Roman"/>
        </w:rPr>
      </w:pPr>
      <w:r>
        <w:rPr>
          <w:rFonts w:hint="default" w:ascii="Times New Roman" w:hAnsi="Times New Roman" w:cs="Times New Roman"/>
          <w:sz w:val="24"/>
        </w:rPr>
        <w:t>Phase 5: Validation of Target Necessity Drug treatments will be repeated in knockdown models. A lack of behavioral improvement would support the necessity of GLP-1R and FGFR1 for therapeutic efficacy.</w:t>
      </w:r>
    </w:p>
    <w:p w14:paraId="061EE5BB">
      <w:pPr>
        <w:spacing w:line="300" w:lineRule="auto"/>
        <w:jc w:val="both"/>
        <w:rPr>
          <w:rFonts w:hint="default" w:ascii="Times New Roman" w:hAnsi="Times New Roman" w:cs="Times New Roman"/>
          <w:b/>
          <w:bCs/>
          <w:sz w:val="24"/>
        </w:rPr>
      </w:pPr>
      <w:r>
        <w:rPr>
          <w:rFonts w:hint="default" w:ascii="Times New Roman" w:hAnsi="Times New Roman" w:cs="Times New Roman"/>
          <w:b/>
          <w:bCs/>
          <w:sz w:val="24"/>
        </w:rPr>
        <w:t>2</w:t>
      </w:r>
      <w:r>
        <w:rPr>
          <w:rFonts w:hint="default" w:ascii="Times New Roman" w:hAnsi="Times New Roman" w:cs="Times New Roman"/>
          <w:b/>
          <w:bCs/>
          <w:sz w:val="24"/>
          <w:lang w:val="en-US"/>
        </w:rPr>
        <w:t>.</w:t>
      </w:r>
      <w:r>
        <w:rPr>
          <w:rFonts w:hint="default" w:ascii="Times New Roman" w:hAnsi="Times New Roman" w:cs="Times New Roman"/>
          <w:b/>
          <w:bCs/>
          <w:sz w:val="24"/>
        </w:rPr>
        <w:t xml:space="preserve"> Key Techniques and Data Collection </w:t>
      </w:r>
    </w:p>
    <w:p w14:paraId="573BCA38">
      <w:pPr>
        <w:spacing w:line="300" w:lineRule="auto"/>
        <w:jc w:val="both"/>
        <w:rPr>
          <w:rFonts w:hint="default" w:ascii="Times New Roman" w:hAnsi="Times New Roman" w:cs="Times New Roman"/>
          <w:sz w:val="24"/>
        </w:rPr>
      </w:pPr>
      <w:r>
        <w:rPr>
          <w:rFonts w:hint="default" w:ascii="Times New Roman" w:hAnsi="Times New Roman" w:cs="Times New Roman"/>
          <w:sz w:val="24"/>
        </w:rPr>
        <w:t>Diabetes models will be established as described above. Both type 1 and type 2 models will be used to explore shared and distinct cognitive deficits.</w:t>
      </w:r>
    </w:p>
    <w:p w14:paraId="77636F4B">
      <w:pPr>
        <w:spacing w:line="300" w:lineRule="auto"/>
        <w:ind w:firstLine="480" w:firstLineChars="200"/>
        <w:jc w:val="both"/>
        <w:rPr>
          <w:rFonts w:hint="default" w:ascii="Times New Roman" w:hAnsi="Times New Roman" w:cs="Times New Roman"/>
          <w:sz w:val="24"/>
        </w:rPr>
      </w:pPr>
      <w:r>
        <w:rPr>
          <w:rFonts w:hint="default" w:ascii="Times New Roman" w:hAnsi="Times New Roman" w:cs="Times New Roman"/>
          <w:b/>
          <w:bCs/>
          <w:sz w:val="24"/>
        </w:rPr>
        <w:t>Behavio</w:t>
      </w:r>
      <w:r>
        <w:rPr>
          <w:rFonts w:hint="default" w:ascii="Times New Roman" w:hAnsi="Times New Roman" w:cs="Times New Roman"/>
          <w:b/>
          <w:bCs/>
          <w:sz w:val="24"/>
          <w:lang w:val="en-US"/>
        </w:rPr>
        <w:t>u</w:t>
      </w:r>
      <w:r>
        <w:rPr>
          <w:rFonts w:hint="default" w:ascii="Times New Roman" w:hAnsi="Times New Roman" w:cs="Times New Roman"/>
          <w:b/>
          <w:bCs/>
          <w:sz w:val="24"/>
        </w:rPr>
        <w:t xml:space="preserve">ral Assessment: </w:t>
      </w:r>
      <w:r>
        <w:rPr>
          <w:rFonts w:hint="default" w:ascii="Times New Roman" w:hAnsi="Times New Roman" w:cs="Times New Roman"/>
          <w:sz w:val="24"/>
        </w:rPr>
        <w:t>OFT, NOR, Y-maze, Barnes Maze, EPM, and FST will be used to comprehensively assess locomotion, anxiety, memory, and depression-like behavior.</w:t>
      </w:r>
    </w:p>
    <w:p w14:paraId="03ABF52D">
      <w:pPr>
        <w:spacing w:line="300" w:lineRule="auto"/>
        <w:ind w:firstLine="480" w:firstLineChars="200"/>
        <w:jc w:val="both"/>
        <w:rPr>
          <w:rFonts w:hint="default" w:ascii="Times New Roman" w:hAnsi="Times New Roman" w:cs="Times New Roman"/>
          <w:sz w:val="24"/>
        </w:rPr>
      </w:pPr>
      <w:r>
        <w:rPr>
          <w:rFonts w:hint="default" w:ascii="Times New Roman" w:hAnsi="Times New Roman" w:cs="Times New Roman"/>
          <w:b/>
          <w:bCs/>
          <w:sz w:val="24"/>
        </w:rPr>
        <w:t>Electrophysiology:</w:t>
      </w:r>
      <w:r>
        <w:rPr>
          <w:rFonts w:hint="default" w:ascii="Times New Roman" w:hAnsi="Times New Roman" w:cs="Times New Roman"/>
          <w:sz w:val="24"/>
        </w:rPr>
        <w:t xml:space="preserve"> Basal synaptic transmission properties of hippocampal CA1 pyramidal neurons will be recorded using patch-clamp electrophysiology, and long-term potentiation (LTP) will be induced by high-frequency stimulation. Changes in the slope and maintenance duration of field excitatory postsynaptic potentials (fEPSPs) will be analy</w:t>
      </w:r>
      <w:r>
        <w:rPr>
          <w:rFonts w:hint="default" w:ascii="Times New Roman" w:hAnsi="Times New Roman" w:cs="Times New Roman"/>
          <w:sz w:val="24"/>
          <w:lang w:val="en-US"/>
        </w:rPr>
        <w:t>s</w:t>
      </w:r>
      <w:r>
        <w:rPr>
          <w:rFonts w:hint="default" w:ascii="Times New Roman" w:hAnsi="Times New Roman" w:cs="Times New Roman"/>
          <w:sz w:val="24"/>
        </w:rPr>
        <w:t>ed.</w:t>
      </w:r>
    </w:p>
    <w:p w14:paraId="4BFD19C9">
      <w:pPr>
        <w:spacing w:line="300" w:lineRule="auto"/>
        <w:ind w:firstLine="480" w:firstLineChars="200"/>
        <w:jc w:val="both"/>
        <w:rPr>
          <w:rFonts w:hint="default" w:ascii="Times New Roman" w:hAnsi="Times New Roman" w:cs="Times New Roman"/>
          <w:sz w:val="24"/>
        </w:rPr>
      </w:pPr>
      <w:r>
        <w:rPr>
          <w:rFonts w:hint="default" w:ascii="Times New Roman" w:hAnsi="Times New Roman" w:cs="Times New Roman"/>
          <w:b/>
          <w:bCs/>
          <w:sz w:val="24"/>
        </w:rPr>
        <w:t>Multi-Omics Analysis:</w:t>
      </w:r>
      <w:r>
        <w:rPr>
          <w:rFonts w:hint="default" w:ascii="Times New Roman" w:hAnsi="Times New Roman" w:cs="Times New Roman"/>
          <w:sz w:val="24"/>
        </w:rPr>
        <w:t xml:space="preserve"> Transcriptomic (RNA-seq) and proteomic (LC-MS/MS) analyses will identify differentially expressed genes/proteins and construct signal</w:t>
      </w:r>
      <w:r>
        <w:rPr>
          <w:rFonts w:hint="default" w:ascii="Times New Roman" w:hAnsi="Times New Roman" w:cs="Times New Roman"/>
          <w:sz w:val="24"/>
          <w:lang w:val="en-US"/>
        </w:rPr>
        <w:t>l</w:t>
      </w:r>
      <w:r>
        <w:rPr>
          <w:rFonts w:hint="default" w:ascii="Times New Roman" w:hAnsi="Times New Roman" w:cs="Times New Roman"/>
          <w:sz w:val="24"/>
        </w:rPr>
        <w:t>ing networks associated with GLP-1R/FGFR1. Potential regulatory nodes (e.g., NMDA receptor subunits, inflammatory factors) will be highlighted.</w:t>
      </w:r>
    </w:p>
    <w:p w14:paraId="30A1CFBC">
      <w:pPr>
        <w:spacing w:line="300" w:lineRule="auto"/>
        <w:jc w:val="both"/>
        <w:rPr>
          <w:rFonts w:hint="default" w:ascii="Times New Roman" w:hAnsi="Times New Roman" w:cs="Times New Roman"/>
          <w:b/>
          <w:bCs/>
          <w:sz w:val="24"/>
        </w:rPr>
      </w:pPr>
      <w:r>
        <w:rPr>
          <w:rFonts w:hint="default" w:ascii="Times New Roman" w:hAnsi="Times New Roman" w:cs="Times New Roman"/>
          <w:b/>
          <w:bCs/>
          <w:sz w:val="24"/>
        </w:rPr>
        <w:t>3</w:t>
      </w:r>
      <w:r>
        <w:rPr>
          <w:rFonts w:hint="default" w:ascii="Times New Roman" w:hAnsi="Times New Roman" w:cs="Times New Roman"/>
          <w:b/>
          <w:bCs/>
          <w:sz w:val="24"/>
          <w:lang w:val="en-US"/>
        </w:rPr>
        <w:t>.</w:t>
      </w:r>
      <w:r>
        <w:rPr>
          <w:rFonts w:hint="default" w:ascii="Times New Roman" w:hAnsi="Times New Roman" w:cs="Times New Roman"/>
          <w:b/>
          <w:bCs/>
          <w:sz w:val="24"/>
        </w:rPr>
        <w:t xml:space="preserve"> Data Analysis </w:t>
      </w:r>
    </w:p>
    <w:p w14:paraId="77A3F4D1">
      <w:pPr>
        <w:spacing w:line="30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Behavio</w:t>
      </w:r>
      <w:r>
        <w:rPr>
          <w:rFonts w:hint="default" w:ascii="Times New Roman" w:hAnsi="Times New Roman" w:cs="Times New Roman"/>
          <w:sz w:val="24"/>
          <w:lang w:val="en-US"/>
        </w:rPr>
        <w:t>u</w:t>
      </w:r>
      <w:r>
        <w:rPr>
          <w:rFonts w:hint="default" w:ascii="Times New Roman" w:hAnsi="Times New Roman" w:cs="Times New Roman"/>
          <w:sz w:val="24"/>
        </w:rPr>
        <w:t>ral and molecular biology data will be compared between groups. LTP data will be analy</w:t>
      </w:r>
      <w:r>
        <w:rPr>
          <w:rFonts w:hint="default" w:ascii="Times New Roman" w:hAnsi="Times New Roman" w:cs="Times New Roman"/>
          <w:sz w:val="24"/>
          <w:lang w:val="en-US"/>
        </w:rPr>
        <w:t>s</w:t>
      </w:r>
      <w:r>
        <w:rPr>
          <w:rFonts w:hint="default" w:ascii="Times New Roman" w:hAnsi="Times New Roman" w:cs="Times New Roman"/>
          <w:sz w:val="24"/>
        </w:rPr>
        <w:t>ed using Minianalysis. Omics data will be processed to identify differential genes/proteins (|fold change| &gt; 1.5, p &lt; 0.05), followed by GO and KEGG enrichment analyses, as shown in Figure 1.</w:t>
      </w:r>
    </w:p>
    <w:p w14:paraId="32F481B6">
      <w:pPr>
        <w:spacing w:line="300" w:lineRule="auto"/>
        <w:jc w:val="both"/>
        <w:rPr>
          <w:rFonts w:hint="default" w:ascii="Times New Roman" w:hAnsi="Times New Roman" w:cs="Times New Roman"/>
          <w:b/>
          <w:bCs/>
        </w:rPr>
      </w:pPr>
      <w:r>
        <w:rPr>
          <w:rFonts w:hint="default" w:ascii="Times New Roman" w:hAnsi="Times New Roman" w:cs="Times New Roman"/>
        </w:rPr>
        <w:drawing>
          <wp:inline distT="0" distB="0" distL="0" distR="0">
            <wp:extent cx="5274310" cy="4464685"/>
            <wp:effectExtent l="0" t="0" r="8890" b="5715"/>
            <wp:docPr id="1026" name="图片 2"/>
            <wp:cNvGraphicFramePr/>
            <a:graphic xmlns:a="http://schemas.openxmlformats.org/drawingml/2006/main">
              <a:graphicData uri="http://schemas.openxmlformats.org/drawingml/2006/picture">
                <pic:pic xmlns:pic="http://schemas.openxmlformats.org/drawingml/2006/picture">
                  <pic:nvPicPr>
                    <pic:cNvPr id="1026" name="图片 2"/>
                    <pic:cNvPicPr/>
                  </pic:nvPicPr>
                  <pic:blipFill>
                    <a:blip r:embed="rId4" cstate="print"/>
                    <a:srcRect/>
                    <a:stretch>
                      <a:fillRect/>
                    </a:stretch>
                  </pic:blipFill>
                  <pic:spPr>
                    <a:xfrm>
                      <a:off x="0" y="0"/>
                      <a:ext cx="5274310" cy="4464685"/>
                    </a:xfrm>
                    <a:prstGeom prst="rect">
                      <a:avLst/>
                    </a:prstGeom>
                    <a:ln>
                      <a:noFill/>
                    </a:ln>
                  </pic:spPr>
                </pic:pic>
              </a:graphicData>
            </a:graphic>
          </wp:inline>
        </w:drawing>
      </w:r>
    </w:p>
    <w:p w14:paraId="5856E074">
      <w:pPr>
        <w:spacing w:line="300" w:lineRule="auto"/>
        <w:jc w:val="both"/>
        <w:rPr>
          <w:rFonts w:hint="default" w:ascii="Times New Roman" w:hAnsi="Times New Roman" w:cs="Times New Roman"/>
          <w:b w:val="0"/>
          <w:bCs w:val="0"/>
          <w:szCs w:val="21"/>
        </w:rPr>
      </w:pPr>
      <w:r>
        <w:rPr>
          <w:rFonts w:hint="default" w:ascii="Times New Roman" w:hAnsi="Times New Roman" w:cs="Times New Roman"/>
          <w:b/>
          <w:bCs/>
          <w:szCs w:val="21"/>
        </w:rPr>
        <w:t xml:space="preserve">Figure 1. </w:t>
      </w:r>
      <w:r>
        <w:rPr>
          <w:rFonts w:hint="default" w:ascii="Times New Roman" w:hAnsi="Times New Roman" w:cs="Times New Roman"/>
          <w:szCs w:val="21"/>
        </w:rPr>
        <w:t>Distribution of fold change across comparative groups</w:t>
      </w:r>
      <w:r>
        <w:rPr>
          <w:rFonts w:hint="default" w:ascii="Times New Roman" w:hAnsi="Times New Roman" w:cs="Times New Roman"/>
          <w:szCs w:val="21"/>
        </w:rPr>
        <w:fldChar w:fldCharType="begin"/>
      </w:r>
      <w:r>
        <w:rPr>
          <w:rFonts w:hint="default" w:ascii="Times New Roman" w:hAnsi="Times New Roman" w:cs="Times New Roman"/>
          <w:szCs w:val="21"/>
          <w:lang w:eastAsia="zh-CN"/>
        </w:rPr>
        <w:instrText xml:space="preserve"> ADDIN EN.CITE </w:instrText>
      </w:r>
      <w:r>
        <w:rPr>
          <w:rFonts w:hint="default" w:ascii="Times New Roman" w:hAnsi="Times New Roman" w:cs="Times New Roman"/>
          <w:szCs w:val="21"/>
          <w:lang w:eastAsia="zh-CN"/>
        </w:rPr>
        <w:fldChar w:fldCharType="begin"/>
      </w:r>
      <w:r>
        <w:rPr>
          <w:rFonts w:hint="default" w:ascii="Times New Roman" w:hAnsi="Times New Roman" w:cs="Times New Roman"/>
          <w:szCs w:val="21"/>
          <w:lang w:eastAsia="zh-CN"/>
        </w:rPr>
        <w:instrText xml:space="preserve"> ADDIN EN.CITE.DATA </w:instrText>
      </w:r>
      <w:r>
        <w:rPr>
          <w:rFonts w:hint="default" w:ascii="Times New Roman" w:hAnsi="Times New Roman" w:cs="Times New Roman"/>
          <w:szCs w:val="21"/>
          <w:lang w:eastAsia="zh-CN"/>
        </w:rPr>
        <w:fldChar w:fldCharType="separate"/>
      </w:r>
      <w:r>
        <w:rPr>
          <w:rFonts w:hint="default" w:ascii="Times New Roman" w:hAnsi="Times New Roman" w:cs="Times New Roman"/>
          <w:szCs w:val="21"/>
          <w:lang w:eastAsia="zh-CN"/>
        </w:rPr>
        <w:fldChar w:fldCharType="end"/>
      </w:r>
      <w:r>
        <w:rPr>
          <w:rFonts w:hint="default" w:ascii="Times New Roman" w:hAnsi="Times New Roman" w:cs="Times New Roman"/>
          <w:szCs w:val="21"/>
        </w:rPr>
        <w:fldChar w:fldCharType="separate"/>
      </w:r>
      <w:r>
        <w:rPr>
          <w:rFonts w:hint="default" w:ascii="Times New Roman" w:hAnsi="Times New Roman" w:eastAsia="SimSun" w:cs="Times New Roman"/>
          <w:kern w:val="2"/>
          <w:sz w:val="21"/>
          <w:szCs w:val="21"/>
          <w:vertAlign w:val="superscript"/>
          <w:lang w:val="en-US" w:eastAsia="zh-CN" w:bidi="ar-SA"/>
        </w:rPr>
        <w:t>14</w:t>
      </w:r>
      <w:r>
        <w:rPr>
          <w:rFonts w:hint="default" w:ascii="Times New Roman" w:hAnsi="Times New Roman" w:cs="Times New Roman"/>
          <w:szCs w:val="21"/>
        </w:rPr>
        <w:fldChar w:fldCharType="end"/>
      </w:r>
      <w:r>
        <w:rPr>
          <w:rFonts w:hint="default" w:ascii="Times New Roman" w:hAnsi="Times New Roman" w:cs="Times New Roman"/>
          <w:sz w:val="21"/>
          <w:szCs w:val="21"/>
        </w:rPr>
        <w:t>.</w:t>
      </w:r>
    </w:p>
    <w:p w14:paraId="19CE514B">
      <w:pPr>
        <w:spacing w:line="300" w:lineRule="auto"/>
        <w:jc w:val="both"/>
        <w:rPr>
          <w:rFonts w:hint="default" w:ascii="Times New Roman" w:hAnsi="Times New Roman" w:cs="Times New Roman"/>
          <w:b/>
          <w:bCs/>
        </w:rPr>
      </w:pPr>
    </w:p>
    <w:p w14:paraId="33597A47">
      <w:pPr>
        <w:numPr>
          <w:ilvl w:val="0"/>
          <w:numId w:val="1"/>
        </w:numPr>
        <w:spacing w:line="300" w:lineRule="auto"/>
        <w:jc w:val="both"/>
        <w:rPr>
          <w:rFonts w:hint="default" w:ascii="Times New Roman" w:hAnsi="Times New Roman" w:cs="Times New Roman"/>
          <w:b/>
          <w:bCs/>
          <w:sz w:val="24"/>
        </w:rPr>
      </w:pPr>
      <w:r>
        <w:rPr>
          <w:rFonts w:hint="default" w:ascii="Times New Roman" w:hAnsi="Times New Roman" w:cs="Times New Roman"/>
          <w:b/>
          <w:bCs/>
          <w:sz w:val="24"/>
        </w:rPr>
        <w:t>Target Screening and Validation</w:t>
      </w:r>
    </w:p>
    <w:p w14:paraId="06A5B320">
      <w:pPr>
        <w:spacing w:line="300" w:lineRule="auto"/>
        <w:ind w:firstLine="480" w:firstLineChars="200"/>
        <w:jc w:val="both"/>
        <w:rPr>
          <w:rFonts w:hint="default" w:ascii="Times New Roman" w:hAnsi="Times New Roman" w:cs="Times New Roman"/>
          <w:b/>
          <w:bCs/>
          <w:sz w:val="24"/>
        </w:rPr>
      </w:pPr>
      <w:r>
        <w:rPr>
          <w:rFonts w:hint="default" w:ascii="Times New Roman" w:hAnsi="Times New Roman" w:cs="Times New Roman"/>
          <w:b/>
          <w:bCs/>
          <w:sz w:val="24"/>
        </w:rPr>
        <w:t xml:space="preserve">Candidate Identification: </w:t>
      </w:r>
    </w:p>
    <w:p w14:paraId="0E0B7FDE">
      <w:pPr>
        <w:spacing w:line="30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Bioinformatic tools (e.g., DESeq2, Perseus, STRING and Cytoscape) will be used to analy</w:t>
      </w:r>
      <w:r>
        <w:rPr>
          <w:rFonts w:hint="default" w:ascii="Times New Roman" w:hAnsi="Times New Roman" w:cs="Times New Roman"/>
          <w:sz w:val="24"/>
          <w:lang w:val="en-US"/>
        </w:rPr>
        <w:t>s</w:t>
      </w:r>
      <w:r>
        <w:rPr>
          <w:rFonts w:hint="default" w:ascii="Times New Roman" w:hAnsi="Times New Roman" w:cs="Times New Roman"/>
          <w:sz w:val="24"/>
        </w:rPr>
        <w:t>e omics data and identify key regulators in GLP-1R/FGFR1 networks, as shown in Figure 2.</w:t>
      </w:r>
    </w:p>
    <w:p w14:paraId="62EC82CB">
      <w:pPr>
        <w:spacing w:line="300" w:lineRule="auto"/>
        <w:ind w:firstLine="480" w:firstLineChars="200"/>
        <w:jc w:val="both"/>
        <w:rPr>
          <w:rFonts w:hint="default" w:ascii="Times New Roman" w:hAnsi="Times New Roman" w:cs="Times New Roman"/>
          <w:sz w:val="24"/>
        </w:rPr>
      </w:pPr>
      <w:r>
        <w:rPr>
          <w:rFonts w:hint="default" w:ascii="Times New Roman" w:hAnsi="Times New Roman" w:cs="Times New Roman"/>
          <w:b/>
          <w:bCs/>
          <w:sz w:val="24"/>
        </w:rPr>
        <w:t>Functional Validation:</w:t>
      </w:r>
      <w:r>
        <w:rPr>
          <w:rFonts w:hint="default" w:ascii="Times New Roman" w:hAnsi="Times New Roman" w:cs="Times New Roman"/>
          <w:sz w:val="24"/>
        </w:rPr>
        <w:t xml:space="preserve"> </w:t>
      </w:r>
    </w:p>
    <w:p w14:paraId="7CC475D8">
      <w:pPr>
        <w:spacing w:line="30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siRNA or CRISPR/Cas9 will be used to knock down candidate genes. Their effects on cognitive/em</w:t>
      </w:r>
      <w:bookmarkStart w:id="0" w:name="_GoBack"/>
      <w:bookmarkEnd w:id="0"/>
      <w:r>
        <w:rPr>
          <w:rFonts w:hint="default" w:ascii="Times New Roman" w:hAnsi="Times New Roman" w:cs="Times New Roman"/>
          <w:sz w:val="24"/>
        </w:rPr>
        <w:t>otional phenotypes will be assessed. Pharmacological agents (small-molecule agonists/antagonists or drug repurposing) will be tested to evaluate efficacy and mechanisms of novel targets.</w:t>
      </w:r>
    </w:p>
    <w:p w14:paraId="64B83D36">
      <w:pPr>
        <w:spacing w:line="300" w:lineRule="auto"/>
        <w:ind w:firstLine="480" w:firstLineChars="200"/>
        <w:jc w:val="both"/>
        <w:rPr>
          <w:rFonts w:hint="default" w:ascii="Times New Roman" w:hAnsi="Times New Roman" w:cs="Times New Roman"/>
          <w:sz w:val="24"/>
        </w:rPr>
      </w:pPr>
    </w:p>
    <w:p w14:paraId="6BCB141D">
      <w:pPr>
        <w:spacing w:line="300" w:lineRule="auto"/>
        <w:jc w:val="both"/>
        <w:rPr>
          <w:rFonts w:hint="default" w:ascii="Times New Roman" w:hAnsi="Times New Roman" w:cs="Times New Roman"/>
          <w:sz w:val="23"/>
          <w:szCs w:val="23"/>
        </w:rPr>
      </w:pPr>
      <w:r>
        <w:rPr>
          <w:rFonts w:hint="default" w:ascii="Times New Roman" w:hAnsi="Times New Roman" w:cs="Times New Roman"/>
        </w:rPr>
        <w:drawing>
          <wp:inline distT="0" distB="0" distL="0" distR="0">
            <wp:extent cx="4564380" cy="4221480"/>
            <wp:effectExtent l="0" t="0" r="7620" b="7620"/>
            <wp:docPr id="1027" name="图片 1"/>
            <wp:cNvGraphicFramePr/>
            <a:graphic xmlns:a="http://schemas.openxmlformats.org/drawingml/2006/main">
              <a:graphicData uri="http://schemas.openxmlformats.org/drawingml/2006/picture">
                <pic:pic xmlns:pic="http://schemas.openxmlformats.org/drawingml/2006/picture">
                  <pic:nvPicPr>
                    <pic:cNvPr id="1027" name="图片 1"/>
                    <pic:cNvPicPr/>
                  </pic:nvPicPr>
                  <pic:blipFill>
                    <a:blip r:embed="rId5" cstate="print"/>
                    <a:srcRect/>
                    <a:stretch>
                      <a:fillRect/>
                    </a:stretch>
                  </pic:blipFill>
                  <pic:spPr>
                    <a:xfrm>
                      <a:off x="0" y="0"/>
                      <a:ext cx="4564380" cy="4221480"/>
                    </a:xfrm>
                    <a:prstGeom prst="rect">
                      <a:avLst/>
                    </a:prstGeom>
                    <a:ln>
                      <a:noFill/>
                    </a:ln>
                  </pic:spPr>
                </pic:pic>
              </a:graphicData>
            </a:graphic>
          </wp:inline>
        </w:drawing>
      </w:r>
    </w:p>
    <w:p w14:paraId="2C273A59">
      <w:pPr>
        <w:spacing w:line="300" w:lineRule="auto"/>
        <w:jc w:val="both"/>
        <w:rPr>
          <w:rFonts w:hint="default" w:ascii="Times New Roman" w:hAnsi="Times New Roman" w:cs="Times New Roman"/>
          <w:sz w:val="21"/>
          <w:szCs w:val="21"/>
        </w:rPr>
      </w:pPr>
      <w:r>
        <w:rPr>
          <w:rFonts w:hint="default" w:ascii="Times New Roman" w:hAnsi="Times New Roman" w:cs="Times New Roman"/>
          <w:b/>
          <w:bCs/>
          <w:szCs w:val="21"/>
        </w:rPr>
        <w:t xml:space="preserve">Figure 2. </w:t>
      </w:r>
      <w:r>
        <w:rPr>
          <w:rFonts w:hint="default" w:ascii="Times New Roman" w:hAnsi="Times New Roman" w:cs="Times New Roman"/>
          <w:szCs w:val="21"/>
        </w:rPr>
        <w:t>Illustration of differentially expressed proteins and associated biological pathways</w:t>
      </w:r>
      <w:r>
        <w:rPr>
          <w:rFonts w:hint="default" w:ascii="Times New Roman" w:hAnsi="Times New Roman" w:cs="Times New Roman"/>
          <w:szCs w:val="21"/>
        </w:rPr>
        <w:fldChar w:fldCharType="begin"/>
      </w:r>
      <w:r>
        <w:rPr>
          <w:rFonts w:hint="default" w:ascii="Times New Roman" w:hAnsi="Times New Roman" w:cs="Times New Roman"/>
          <w:szCs w:val="21"/>
          <w:lang w:eastAsia="zh-CN"/>
        </w:rPr>
        <w:instrText xml:space="preserve"> ADDIN EN.CITE </w:instrText>
      </w:r>
      <w:r>
        <w:rPr>
          <w:rFonts w:hint="default" w:ascii="Times New Roman" w:hAnsi="Times New Roman" w:cs="Times New Roman"/>
          <w:szCs w:val="21"/>
          <w:lang w:eastAsia="zh-CN"/>
        </w:rPr>
        <w:fldChar w:fldCharType="begin"/>
      </w:r>
      <w:r>
        <w:rPr>
          <w:rFonts w:hint="default" w:ascii="Times New Roman" w:hAnsi="Times New Roman" w:cs="Times New Roman"/>
          <w:szCs w:val="21"/>
          <w:lang w:eastAsia="zh-CN"/>
        </w:rPr>
        <w:instrText xml:space="preserve"> ADDIN EN.CITE.DATA </w:instrText>
      </w:r>
      <w:r>
        <w:rPr>
          <w:rFonts w:hint="default" w:ascii="Times New Roman" w:hAnsi="Times New Roman" w:cs="Times New Roman"/>
          <w:szCs w:val="21"/>
          <w:lang w:eastAsia="zh-CN"/>
        </w:rPr>
        <w:fldChar w:fldCharType="separate"/>
      </w:r>
      <w:r>
        <w:rPr>
          <w:rFonts w:hint="default" w:ascii="Times New Roman" w:hAnsi="Times New Roman" w:cs="Times New Roman"/>
          <w:szCs w:val="21"/>
          <w:lang w:eastAsia="zh-CN"/>
        </w:rPr>
        <w:fldChar w:fldCharType="end"/>
      </w:r>
      <w:r>
        <w:rPr>
          <w:rFonts w:hint="default" w:ascii="Times New Roman" w:hAnsi="Times New Roman" w:cs="Times New Roman"/>
          <w:szCs w:val="21"/>
        </w:rPr>
        <w:fldChar w:fldCharType="separate"/>
      </w:r>
      <w:r>
        <w:rPr>
          <w:rFonts w:hint="default" w:ascii="Times New Roman" w:hAnsi="Times New Roman" w:eastAsia="SimSun" w:cs="Times New Roman"/>
          <w:kern w:val="2"/>
          <w:sz w:val="21"/>
          <w:szCs w:val="21"/>
          <w:vertAlign w:val="superscript"/>
          <w:lang w:val="en-US" w:eastAsia="zh-CN" w:bidi="ar-SA"/>
        </w:rPr>
        <w:t>14</w:t>
      </w:r>
      <w:r>
        <w:rPr>
          <w:rFonts w:hint="default" w:ascii="Times New Roman" w:hAnsi="Times New Roman" w:cs="Times New Roman"/>
          <w:szCs w:val="21"/>
        </w:rPr>
        <w:fldChar w:fldCharType="end"/>
      </w:r>
      <w:r>
        <w:rPr>
          <w:rFonts w:hint="default" w:ascii="Times New Roman" w:hAnsi="Times New Roman" w:cs="Times New Roman"/>
          <w:szCs w:val="21"/>
        </w:rPr>
        <w:t>.</w:t>
      </w:r>
    </w:p>
    <w:p w14:paraId="23965CED">
      <w:pPr>
        <w:spacing w:line="300" w:lineRule="auto"/>
        <w:jc w:val="both"/>
        <w:rPr>
          <w:rFonts w:hint="default" w:ascii="Times New Roman" w:hAnsi="Times New Roman" w:cs="Times New Roman"/>
          <w:sz w:val="23"/>
          <w:szCs w:val="23"/>
        </w:rPr>
      </w:pPr>
    </w:p>
    <w:p w14:paraId="1A78CF36">
      <w:pPr>
        <w:spacing w:line="300" w:lineRule="auto"/>
        <w:jc w:val="both"/>
        <w:rPr>
          <w:rFonts w:hint="default" w:ascii="Times New Roman" w:hAnsi="Times New Roman" w:cs="Times New Roman"/>
          <w:b/>
          <w:bCs/>
          <w:sz w:val="23"/>
          <w:szCs w:val="23"/>
        </w:rPr>
      </w:pPr>
      <w:r>
        <w:rPr>
          <w:rFonts w:hint="default" w:ascii="Times New Roman" w:hAnsi="Times New Roman" w:cs="Times New Roman"/>
          <w:b/>
          <w:bCs/>
          <w:sz w:val="23"/>
          <w:szCs w:val="23"/>
        </w:rPr>
        <w:t>Expected Results</w:t>
      </w:r>
    </w:p>
    <w:p w14:paraId="31BBA3AA">
      <w:pPr>
        <w:spacing w:line="300" w:lineRule="auto"/>
        <w:ind w:firstLine="480" w:firstLineChars="200"/>
        <w:jc w:val="both"/>
        <w:rPr>
          <w:rFonts w:hint="default" w:ascii="Times New Roman" w:hAnsi="Times New Roman"/>
          <w:sz w:val="24"/>
        </w:rPr>
      </w:pPr>
      <w:r>
        <w:rPr>
          <w:rFonts w:hint="default" w:ascii="Times New Roman" w:hAnsi="Times New Roman"/>
          <w:sz w:val="24"/>
        </w:rPr>
        <w:t>This study aims to elucidate the synergistic mechanisms of GLP-1R and FGFR1 in diabetes-related cognitive and affective dysfunction. Through comparative analysis of STZ-induced type 1 diabetic mouse models and genetically diabetic db/db mice, we expect to delineate both shared and distinct cognitive and emotional deficits across different etiological backgrounds of diabetes. Behavioural and electrophysiological findings are expected to demonstrate that hippocampal-specific inhibition of GLP-1R or FGFR1 results in impaired synaptic plasticity and cognitive deficits. In contrast, pharmacological activation of either receptor pathway may reverse these pathological changes.</w:t>
      </w:r>
    </w:p>
    <w:p w14:paraId="7A0872CD">
      <w:pPr>
        <w:spacing w:line="300" w:lineRule="auto"/>
        <w:ind w:firstLine="480" w:firstLineChars="200"/>
        <w:jc w:val="both"/>
        <w:rPr>
          <w:rFonts w:hint="default" w:ascii="Times New Roman" w:hAnsi="Times New Roman" w:cs="Times New Roman"/>
          <w:sz w:val="24"/>
        </w:rPr>
      </w:pPr>
      <w:r>
        <w:rPr>
          <w:rFonts w:hint="default" w:ascii="Times New Roman" w:hAnsi="Times New Roman"/>
          <w:sz w:val="24"/>
        </w:rPr>
        <w:t>Transcriptomic and proteomic profiling will uncover the downstream molecular mechanisms co-regulated by GLP-1R and FGFR1, highlighting key synaptic modulators such as BDNF</w:t>
      </w:r>
      <w:r>
        <w:rPr>
          <w:rFonts w:hint="default" w:ascii="Times New Roman" w:hAnsi="Times New Roman" w:cs="Times New Roman"/>
          <w:sz w:val="24"/>
        </w:rPr>
        <w:fldChar w:fldCharType="begin"/>
      </w:r>
      <w:r>
        <w:rPr>
          <w:rFonts w:hint="default" w:ascii="Times New Roman" w:hAnsi="Times New Roman" w:cs="Times New Roman"/>
          <w:sz w:val="24"/>
          <w:lang w:eastAsia="zh-CN"/>
        </w:rPr>
        <w:instrText xml:space="preserve"> ADDIN EN.CITE &lt;EndNote&gt;&lt;Cite&gt;&lt;Author&gt;Bi&lt;/Author&gt;&lt;RecNum&gt;161&lt;/RecNum&gt;&lt;DisplayText&gt;&lt;style face="superscript"&gt;15&lt;/style&gt;&lt;/DisplayText&gt;&lt;record&gt;&lt;rec-number&gt;161&lt;/rec-number&gt;&lt;foreign-keys&gt;&lt;key app="EN" db-id="aapp02sfnrspwxe0tr3v0patrssarpe59a95" timestamp="1752065761"&gt;161&lt;/key&gt;&lt;/foreign-keys&gt;&lt;ref-type name="Journal Article"&gt;17&lt;/ref-type&gt;&lt;contributors&gt;&lt;authors&gt;&lt;author&gt;Bi, C.&lt;/author&gt;&lt;author&gt;Fu, Y.&lt;/author&gt;&lt;author&gt;Li, B.&lt;/author&gt;&lt;/authors&gt;&lt;translated-authors&gt;&lt;author&gt;Cell, Signal&lt;/author&gt;&lt;/translated-authors&gt;&lt;/contributors&gt;&lt;auth-address&gt;Department of Endocrinology, the Eighth Affiliated Hospital, Sun Yat-sen University, Shenzhen 518033, PR China. FAU - Fu, Yili&amp;#xD;State Key Laboratory of Robotics and Systems, Harbin Institute of Technology, Harbin 150081, PR China. FAU - Li, Bo&amp;#xD;Department of Endocrinology, the Fourth Affiliated Hospital of Harbin Medical University, Harbin 150081, PR China. Electronic address: libo206688@163.com.&lt;/auth-address&gt;&lt;titles&gt;&lt;title&gt;Brain-derived neurotrophic factor alleviates diabetes mellitus-accelerated atherosclerosis by promoting M2 polarization of macrophages through repressing the STAT3 pathway&lt;/title&gt;&lt;/titles&gt;&lt;number&gt;1873-3913 (Electronic)&lt;/number&gt;&lt;dates&gt;&lt;/dates&gt;&lt;urls&gt;&lt;/urls&gt;&lt;remote-database-provider&gt;2020 Jun&lt;/remote-database-provider&gt;&lt;research-notes&gt;0 (Brain-Derived Neurotrophic Factor)&amp;#xD;0 (Cytokines)&amp;#xD;0 (STAT3 Transcription Factor)&amp;#xD;0 (STAT3 protein, human)&lt;/research-notes&gt;&lt;language&gt;eng&lt;/language&gt;&lt;/record&gt;&lt;/Cite&gt;&lt;/EndNote&gt;</w:instrText>
      </w:r>
      <w:r>
        <w:rPr>
          <w:rFonts w:hint="default" w:ascii="Times New Roman" w:hAnsi="Times New Roman" w:cs="Times New Roman"/>
          <w:sz w:val="24"/>
        </w:rPr>
        <w:fldChar w:fldCharType="separate"/>
      </w:r>
      <w:r>
        <w:rPr>
          <w:rFonts w:hint="default" w:ascii="Times New Roman" w:hAnsi="Times New Roman" w:eastAsia="SimSun" w:cs="Times New Roman"/>
          <w:kern w:val="2"/>
          <w:sz w:val="24"/>
          <w:szCs w:val="24"/>
          <w:vertAlign w:val="superscript"/>
          <w:lang w:val="en-US" w:eastAsia="zh-CN" w:bidi="ar-SA"/>
        </w:rPr>
        <w:t>15</w:t>
      </w:r>
      <w:r>
        <w:rPr>
          <w:rFonts w:hint="default" w:ascii="Times New Roman" w:hAnsi="Times New Roman" w:cs="Times New Roman"/>
          <w:sz w:val="24"/>
        </w:rPr>
        <w:fldChar w:fldCharType="end"/>
      </w:r>
      <w:r>
        <w:rPr>
          <w:rFonts w:hint="default" w:ascii="Times New Roman" w:hAnsi="Times New Roman" w:cs="Times New Roman"/>
          <w:sz w:val="24"/>
        </w:rPr>
        <w:t xml:space="preserve"> </w:t>
      </w:r>
      <w:r>
        <w:rPr>
          <w:rFonts w:hint="default" w:ascii="Times New Roman" w:hAnsi="Times New Roman"/>
          <w:sz w:val="24"/>
        </w:rPr>
        <w:t>and NMDA receptor subunits (e.g., NMDARs</w:t>
      </w:r>
      <w:r>
        <w:rPr>
          <w:rFonts w:hint="default" w:ascii="Times New Roman" w:hAnsi="Times New Roman" w:cs="Times New Roman"/>
          <w:sz w:val="24"/>
        </w:rPr>
        <w:fldChar w:fldCharType="begin"/>
      </w:r>
      <w:r>
        <w:rPr>
          <w:rFonts w:hint="default" w:ascii="Times New Roman" w:hAnsi="Times New Roman" w:cs="Times New Roman"/>
          <w:sz w:val="24"/>
          <w:lang w:eastAsia="zh-CN"/>
        </w:rPr>
        <w:instrText xml:space="preserve"> ADDIN EN.CITE </w:instrText>
      </w:r>
      <w:r>
        <w:rPr>
          <w:rFonts w:hint="default" w:ascii="Times New Roman" w:hAnsi="Times New Roman" w:cs="Times New Roman"/>
          <w:sz w:val="24"/>
          <w:lang w:eastAsia="zh-CN"/>
        </w:rPr>
        <w:fldChar w:fldCharType="begin"/>
      </w:r>
      <w:r>
        <w:rPr>
          <w:rFonts w:hint="default" w:ascii="Times New Roman" w:hAnsi="Times New Roman" w:cs="Times New Roman"/>
          <w:sz w:val="24"/>
          <w:lang w:eastAsia="zh-CN"/>
        </w:rPr>
        <w:instrText xml:space="preserve"> ADDIN EN.CITE.DATA </w:instrText>
      </w:r>
      <w:r>
        <w:rPr>
          <w:rFonts w:hint="default" w:ascii="Times New Roman" w:hAnsi="Times New Roman" w:cs="Times New Roman"/>
          <w:sz w:val="24"/>
          <w:lang w:eastAsia="zh-CN"/>
        </w:rPr>
        <w:fldChar w:fldCharType="separate"/>
      </w:r>
      <w:r>
        <w:rPr>
          <w:rFonts w:hint="default" w:ascii="Times New Roman" w:hAnsi="Times New Roman" w:cs="Times New Roman"/>
          <w:sz w:val="24"/>
          <w:lang w:eastAsia="zh-CN"/>
        </w:rPr>
        <w:fldChar w:fldCharType="end"/>
      </w:r>
      <w:r>
        <w:rPr>
          <w:rFonts w:hint="default" w:ascii="Times New Roman" w:hAnsi="Times New Roman" w:cs="Times New Roman"/>
          <w:sz w:val="24"/>
        </w:rPr>
        <w:fldChar w:fldCharType="separate"/>
      </w:r>
      <w:r>
        <w:rPr>
          <w:rFonts w:hint="default" w:ascii="Times New Roman" w:hAnsi="Times New Roman" w:eastAsia="SimSun" w:cs="Times New Roman"/>
          <w:kern w:val="2"/>
          <w:sz w:val="24"/>
          <w:szCs w:val="24"/>
          <w:vertAlign w:val="superscript"/>
          <w:lang w:val="en-US" w:eastAsia="zh-CN" w:bidi="ar-SA"/>
        </w:rPr>
        <w:t>16</w:t>
      </w:r>
      <w:r>
        <w:rPr>
          <w:rFonts w:hint="default" w:ascii="Times New Roman" w:hAnsi="Times New Roman" w:cs="Times New Roman"/>
          <w:sz w:val="24"/>
        </w:rPr>
        <w:fldChar w:fldCharType="end"/>
      </w:r>
      <w:r>
        <w:rPr>
          <w:rFonts w:hint="default" w:ascii="Times New Roman" w:hAnsi="Times New Roman" w:cs="Times New Roman"/>
          <w:sz w:val="24"/>
        </w:rPr>
        <w:t xml:space="preserve">). </w:t>
      </w:r>
      <w:r>
        <w:rPr>
          <w:rFonts w:hint="default" w:ascii="Times New Roman" w:hAnsi="Times New Roman"/>
          <w:sz w:val="24"/>
        </w:rPr>
        <w:t>This could facilitate the identification of novel therapeutic targets at the convergence of GLP-1R/FGFR1</w:t>
      </w:r>
      <w:r>
        <w:rPr>
          <w:rFonts w:hint="default" w:ascii="Times New Roman" w:hAnsi="Times New Roman" w:cs="Times New Roman"/>
          <w:sz w:val="24"/>
        </w:rPr>
        <w:fldChar w:fldCharType="begin"/>
      </w:r>
      <w:r>
        <w:rPr>
          <w:rFonts w:hint="default" w:ascii="Times New Roman" w:hAnsi="Times New Roman" w:cs="Times New Roman"/>
          <w:sz w:val="24"/>
          <w:lang w:eastAsia="zh-CN"/>
        </w:rPr>
        <w:instrText xml:space="preserve"> ADDIN EN.CITE </w:instrText>
      </w:r>
      <w:r>
        <w:rPr>
          <w:rFonts w:hint="default" w:ascii="Times New Roman" w:hAnsi="Times New Roman" w:cs="Times New Roman"/>
          <w:sz w:val="24"/>
          <w:lang w:eastAsia="zh-CN"/>
        </w:rPr>
        <w:fldChar w:fldCharType="begin"/>
      </w:r>
      <w:r>
        <w:rPr>
          <w:rFonts w:hint="default" w:ascii="Times New Roman" w:hAnsi="Times New Roman" w:cs="Times New Roman"/>
          <w:sz w:val="24"/>
          <w:lang w:eastAsia="zh-CN"/>
        </w:rPr>
        <w:instrText xml:space="preserve"> ADDIN EN.CITE.DATA </w:instrText>
      </w:r>
      <w:r>
        <w:rPr>
          <w:rFonts w:hint="default" w:ascii="Times New Roman" w:hAnsi="Times New Roman" w:cs="Times New Roman"/>
          <w:sz w:val="24"/>
          <w:lang w:eastAsia="zh-CN"/>
        </w:rPr>
        <w:fldChar w:fldCharType="separate"/>
      </w:r>
      <w:r>
        <w:rPr>
          <w:rFonts w:hint="default" w:ascii="Times New Roman" w:hAnsi="Times New Roman" w:cs="Times New Roman"/>
          <w:sz w:val="24"/>
          <w:lang w:eastAsia="zh-CN"/>
        </w:rPr>
        <w:fldChar w:fldCharType="end"/>
      </w:r>
      <w:r>
        <w:rPr>
          <w:rFonts w:hint="default" w:ascii="Times New Roman" w:hAnsi="Times New Roman" w:cs="Times New Roman"/>
          <w:sz w:val="24"/>
        </w:rPr>
        <w:fldChar w:fldCharType="separate"/>
      </w:r>
      <w:r>
        <w:rPr>
          <w:rFonts w:hint="default" w:ascii="Times New Roman" w:hAnsi="Times New Roman" w:eastAsia="SimSun" w:cs="Times New Roman"/>
          <w:kern w:val="2"/>
          <w:sz w:val="24"/>
          <w:szCs w:val="24"/>
          <w:vertAlign w:val="superscript"/>
          <w:lang w:val="en-US" w:eastAsia="zh-CN" w:bidi="ar-SA"/>
        </w:rPr>
        <w:t>17</w:t>
      </w:r>
      <w:r>
        <w:rPr>
          <w:rFonts w:hint="default" w:ascii="Times New Roman" w:hAnsi="Times New Roman" w:cs="Times New Roman"/>
          <w:sz w:val="24"/>
        </w:rPr>
        <w:fldChar w:fldCharType="end"/>
      </w:r>
      <w:r>
        <w:rPr>
          <w:rFonts w:hint="default" w:ascii="Times New Roman" w:hAnsi="Times New Roman" w:cs="Times New Roman"/>
          <w:sz w:val="24"/>
        </w:rPr>
        <w:t xml:space="preserve"> signal</w:t>
      </w:r>
      <w:r>
        <w:rPr>
          <w:rFonts w:hint="default" w:ascii="Times New Roman" w:hAnsi="Times New Roman" w:cs="Times New Roman"/>
          <w:sz w:val="24"/>
          <w:lang w:val="en-US"/>
        </w:rPr>
        <w:t>l</w:t>
      </w:r>
      <w:r>
        <w:rPr>
          <w:rFonts w:hint="default" w:ascii="Times New Roman" w:hAnsi="Times New Roman" w:cs="Times New Roman"/>
          <w:sz w:val="24"/>
        </w:rPr>
        <w:t>ing—potentially including shared nodes such as the cAMP–PKA–CREB and FGF21–ERK cascades.</w:t>
      </w:r>
    </w:p>
    <w:p w14:paraId="592F82AF">
      <w:pPr>
        <w:spacing w:line="300" w:lineRule="auto"/>
        <w:ind w:firstLine="480" w:firstLineChars="200"/>
        <w:jc w:val="both"/>
        <w:rPr>
          <w:rFonts w:hint="default" w:ascii="Times New Roman" w:hAnsi="Times New Roman" w:cs="Times New Roman"/>
          <w:sz w:val="24"/>
        </w:rPr>
      </w:pPr>
      <w:r>
        <w:rPr>
          <w:rFonts w:hint="default" w:ascii="Times New Roman" w:hAnsi="Times New Roman"/>
          <w:sz w:val="24"/>
        </w:rPr>
        <w:t>The innovative aspects of this study are twofold. Mechanistically, it represents the first systematic comparison of STZ-induced and genetically derived diabetes models concerning their neural pathologies, proposing that GLP-1R and FGFR1 may coordinately regulate hippocampal function via overlapping signalling networks</w:t>
      </w:r>
      <w:r>
        <w:rPr>
          <w:rFonts w:hint="default" w:ascii="Times New Roman" w:hAnsi="Times New Roman" w:cs="Times New Roman"/>
          <w:sz w:val="24"/>
        </w:rPr>
        <w:fldChar w:fldCharType="begin"/>
      </w:r>
      <w:r>
        <w:rPr>
          <w:rFonts w:hint="default" w:ascii="Times New Roman" w:hAnsi="Times New Roman" w:cs="Times New Roman"/>
          <w:sz w:val="24"/>
          <w:lang w:eastAsia="zh-CN"/>
        </w:rPr>
        <w:instrText xml:space="preserve"> ADDIN EN.CITE &lt;EndNote&gt;&lt;Cite&gt;&lt;Author&gt;Luo&lt;/Author&gt;&lt;RecNum&gt;157&lt;/RecNum&gt;&lt;DisplayText&gt;&lt;style face="superscript"&gt;18&lt;/style&gt;&lt;/DisplayText&gt;&lt;record&gt;&lt;rec-number&gt;157&lt;/rec-number&gt;&lt;foreign-keys&gt;&lt;key app="EN" db-id="aapp02sfnrspwxe0tr3v0patrssarpe59a95" timestamp="1752065710"&gt;157&lt;/key&gt;&lt;/foreign-keys&gt;&lt;ref-type name="Journal Article"&gt;17&lt;/ref-type&gt;&lt;contributors&gt;&lt;authors&gt;&lt;author&gt;Luo, Y.&lt;/author&gt;&lt;author&gt;Kuang, S.&lt;/author&gt;&lt;author&gt;Li, H.&lt;/author&gt;&lt;author&gt;Ran, D.&lt;/author&gt;&lt;author&gt;Yang, J.&lt;/author&gt;&lt;/authors&gt;&lt;translated-authors&gt;&lt;author&gt;Oncotarget,&lt;/author&gt;&lt;/translated-authors&gt;&lt;/contributors&gt;&lt;auth-address&gt;Department of Pharmacology, Chongqing Medical University, Chongqing, China.&amp;#xD;Chongqing Key Laboratory of Biochemistry and Molecular Pharmacology, Chongqing, China. FAU - Kuang, Shengnan&amp;#xD;Department of Pharmacy, People&amp;apos;s Hospital of Rongchang, Chongqing, China. FAU - Li, Huan&amp;#xD;Department of Pharmacology, Chongqing Medical University, Chongqing, China. FAU - Ran, Dongzhi&amp;#xD;Department of Pharmacology, Chongqing Medical University, Chongqing, China. FAU - Yang, Junqing&amp;#xD;Chongqing Key Laboratory of Biochemistry and Molecular Pharmacology, Chongqing, China.&lt;/auth-address&gt;&lt;titles&gt;&lt;title&gt;cAMP/PKA-CREB-BDNF signaling pathway in hippocampus mediates cyclooxygenase 2-induced learning/memory deficits of rats subjected to chronic unpredictable mild stress&lt;/title&gt;&lt;/titles&gt;&lt;number&gt;1949-2553 (Electronic)&lt;/number&gt;&lt;dates&gt;&lt;/dates&gt;&lt;urls&gt;&lt;/urls&gt;&lt;remote-database-provider&gt;2017 May 30&lt;/remote-database-provider&gt;&lt;research-notes&gt;0 (Brain-Derived Neurotrophic Factor)&amp;#xD;0 (Cyclic AMP Response Element-Binding Protein)&amp;#xD;0 (Cyclooxygenase 2 Inhibitors)&amp;#xD;0 (Cytokines)&amp;#xD;0 (Inflammation Mediators)&amp;#xD;0 (Thiazines)&amp;#xD;0 (Thiazoles)&amp;#xD;E0399OZS9N (Cyclic AMP)&amp;#xD;EC 1.14.99.1 (Cyclooxygenase 2)&amp;#xD;EC 2.7.11.11 (Cyclic AMP-Dependent Protein Kinases)&amp;#xD;VG2QF83CGL (Meloxicam)&lt;/research-notes&gt;&lt;language&gt;eng&lt;/language&gt;&lt;/record&gt;&lt;/Cite&gt;&lt;/EndNote&gt;</w:instrText>
      </w:r>
      <w:r>
        <w:rPr>
          <w:rFonts w:hint="default" w:ascii="Times New Roman" w:hAnsi="Times New Roman" w:cs="Times New Roman"/>
          <w:sz w:val="24"/>
        </w:rPr>
        <w:fldChar w:fldCharType="separate"/>
      </w:r>
      <w:r>
        <w:rPr>
          <w:rFonts w:hint="default" w:ascii="Times New Roman" w:hAnsi="Times New Roman" w:eastAsia="SimSun" w:cs="Times New Roman"/>
          <w:kern w:val="2"/>
          <w:sz w:val="24"/>
          <w:szCs w:val="24"/>
          <w:vertAlign w:val="superscript"/>
          <w:lang w:val="en-US" w:eastAsia="zh-CN" w:bidi="ar-SA"/>
        </w:rPr>
        <w:t>18</w:t>
      </w:r>
      <w:r>
        <w:rPr>
          <w:rFonts w:hint="default" w:ascii="Times New Roman" w:hAnsi="Times New Roman" w:cs="Times New Roman"/>
          <w:sz w:val="24"/>
        </w:rPr>
        <w:fldChar w:fldCharType="end"/>
      </w:r>
      <w:r>
        <w:rPr>
          <w:rFonts w:hint="default" w:ascii="Times New Roman" w:hAnsi="Times New Roman" w:cs="Times New Roman"/>
          <w:sz w:val="24"/>
        </w:rPr>
        <w:t xml:space="preserve">. </w:t>
      </w:r>
      <w:r>
        <w:rPr>
          <w:rFonts w:hint="default" w:ascii="Times New Roman" w:hAnsi="Times New Roman"/>
          <w:sz w:val="24"/>
        </w:rPr>
        <w:t>Methodologically, the integration of multi-omics (transcriptomics + proteomics), electrophysiology, and spatially targeted gene manipulation via AAV provides a comprehensive approach to dissecting the disease network from gene to circuit. By leveraging multidisciplinary strategies, this project is expected to comprehensively define the functional landscape of GLP-1R and FGFR1 in diabetic encephalopathy. The results will enhance our understanding of CNS complications in diabetes and provide a theoretical foundation for the development of novel dual-target therapies, offering hope for more effective intervention in cognitive and emotional disorders affecting hundreds of millions of diabetic patients worldwide.</w:t>
      </w:r>
    </w:p>
    <w:p w14:paraId="007C3FFF">
      <w:pPr>
        <w:spacing w:line="300" w:lineRule="auto"/>
        <w:jc w:val="left"/>
        <w:rPr>
          <w:rFonts w:ascii="Times New Roman" w:hAnsi="Times New Roman" w:cs="Times New Roman"/>
          <w:b/>
          <w:bCs/>
          <w:sz w:val="23"/>
          <w:szCs w:val="23"/>
        </w:rPr>
      </w:pPr>
    </w:p>
    <w:p w14:paraId="146B6E8B">
      <w:pPr>
        <w:spacing w:line="300" w:lineRule="auto"/>
        <w:jc w:val="left"/>
        <w:rPr>
          <w:rFonts w:hint="eastAsia" w:eastAsia="SimSun"/>
          <w:lang w:eastAsia="zh-CN"/>
        </w:rPr>
      </w:pPr>
      <w:r>
        <w:rPr>
          <w:rFonts w:ascii="Times New Roman" w:hAnsi="Times New Roman" w:cs="Times New Roman"/>
          <w:b/>
          <w:bCs/>
          <w:sz w:val="24"/>
          <w:szCs w:val="24"/>
        </w:rPr>
        <w:t>References:</w:t>
      </w:r>
    </w:p>
    <w:p w14:paraId="7A303677">
      <w:pPr>
        <w:pStyle w:val="8"/>
        <w:bidi w:val="0"/>
        <w:ind w:left="0" w:firstLine="0"/>
        <w:rPr>
          <w:rFonts w:hint="default" w:ascii="Times New Roman" w:hAnsi="Times New Roman" w:eastAsia="SimSun" w:cs="Times New Roman"/>
          <w:kern w:val="2"/>
          <w:sz w:val="24"/>
          <w:szCs w:val="24"/>
          <w:lang w:val="en-US" w:eastAsia="zh-CN" w:bidi="ar-SA"/>
        </w:rPr>
      </w:pPr>
      <w:r>
        <w:rPr>
          <w:rFonts w:hint="default" w:ascii="Times New Roman" w:hAnsi="Times New Roman" w:eastAsia="SimSun" w:cs="Times New Roman"/>
          <w:sz w:val="24"/>
          <w:szCs w:val="24"/>
          <w:lang w:eastAsia="zh-CN"/>
        </w:rPr>
        <w:fldChar w:fldCharType="begin"/>
      </w:r>
      <w:r>
        <w:rPr>
          <w:rFonts w:hint="default" w:ascii="Times New Roman" w:hAnsi="Times New Roman" w:cs="Times New Roman"/>
          <w:sz w:val="24"/>
          <w:szCs w:val="24"/>
          <w:lang w:eastAsia="zh-CN"/>
        </w:rPr>
        <w:instrText xml:space="preserve"> ADDIN EN.REFLIST </w:instrText>
      </w:r>
      <w:r>
        <w:rPr>
          <w:rFonts w:hint="default" w:ascii="Times New Roman" w:hAnsi="Times New Roman" w:eastAsia="SimSun" w:cs="Times New Roman"/>
          <w:sz w:val="24"/>
          <w:szCs w:val="24"/>
          <w:lang w:eastAsia="zh-CN"/>
        </w:rPr>
        <w:fldChar w:fldCharType="separate"/>
      </w:r>
      <w:r>
        <w:rPr>
          <w:rFonts w:hint="default" w:ascii="Times New Roman" w:hAnsi="Times New Roman" w:eastAsia="SimSun" w:cs="Times New Roman"/>
          <w:kern w:val="2"/>
          <w:sz w:val="24"/>
          <w:szCs w:val="24"/>
          <w:lang w:val="en-US" w:eastAsia="zh-CN" w:bidi="ar-SA"/>
        </w:rPr>
        <w:t>1.</w:t>
      </w:r>
      <w:r>
        <w:rPr>
          <w:rFonts w:hint="default" w:ascii="Times New Roman" w:hAnsi="Times New Roman" w:eastAsia="SimSun" w:cs="Times New Roman"/>
          <w:kern w:val="2"/>
          <w:sz w:val="24"/>
          <w:szCs w:val="24"/>
          <w:lang w:val="en-US" w:eastAsia="zh-CN" w:bidi="ar-SA"/>
        </w:rPr>
        <w:tab/>
      </w:r>
      <w:r>
        <w:rPr>
          <w:rFonts w:hint="default" w:ascii="Times New Roman" w:hAnsi="Times New Roman" w:eastAsia="SimSun" w:cs="Times New Roman"/>
          <w:kern w:val="2"/>
          <w:sz w:val="24"/>
          <w:szCs w:val="24"/>
          <w:lang w:val="en-US" w:eastAsia="zh-CN" w:bidi="ar-SA"/>
        </w:rPr>
        <w:t xml:space="preserve">Tomic D, Shaw JE, Magliano DJ. The burden and risks of emerging complications of diabetes mellitus. </w:t>
      </w:r>
      <w:r>
        <w:rPr>
          <w:rFonts w:hint="default" w:ascii="Times New Roman" w:hAnsi="Times New Roman" w:eastAsia="SimSun" w:cs="Times New Roman"/>
          <w:i/>
          <w:kern w:val="2"/>
          <w:sz w:val="24"/>
          <w:szCs w:val="24"/>
          <w:lang w:val="en-US" w:eastAsia="zh-CN" w:bidi="ar-SA"/>
        </w:rPr>
        <w:t>Nat Rev Endocrinol</w:t>
      </w:r>
      <w:r>
        <w:rPr>
          <w:rFonts w:hint="default" w:ascii="Times New Roman" w:hAnsi="Times New Roman" w:eastAsia="SimSun" w:cs="Times New Roman"/>
          <w:kern w:val="2"/>
          <w:sz w:val="24"/>
          <w:szCs w:val="24"/>
          <w:lang w:val="en-US" w:eastAsia="zh-CN" w:bidi="ar-SA"/>
        </w:rPr>
        <w:t>. Sep 2022;18(9):525-539. doi:10.1038/s41574-022-00690-7</w:t>
      </w:r>
    </w:p>
    <w:p w14:paraId="3713A369">
      <w:pPr>
        <w:pStyle w:val="8"/>
        <w:bidi w:val="0"/>
        <w:ind w:left="0" w:firstLine="0"/>
        <w:rPr>
          <w:rFonts w:hint="default" w:ascii="Times New Roman" w:hAnsi="Times New Roman" w:eastAsia="SimSun" w:cs="Times New Roman"/>
          <w:kern w:val="2"/>
          <w:sz w:val="24"/>
          <w:szCs w:val="24"/>
          <w:lang w:val="en-US" w:eastAsia="zh-CN" w:bidi="ar-SA"/>
        </w:rPr>
      </w:pPr>
      <w:r>
        <w:rPr>
          <w:rFonts w:hint="default" w:ascii="Times New Roman" w:hAnsi="Times New Roman" w:eastAsia="SimSun" w:cs="Times New Roman"/>
          <w:kern w:val="2"/>
          <w:sz w:val="24"/>
          <w:szCs w:val="24"/>
          <w:lang w:val="en-US" w:eastAsia="zh-CN" w:bidi="ar-SA"/>
        </w:rPr>
        <w:t>2.</w:t>
      </w:r>
      <w:r>
        <w:rPr>
          <w:rFonts w:hint="default" w:ascii="Times New Roman" w:hAnsi="Times New Roman" w:eastAsia="SimSun" w:cs="Times New Roman"/>
          <w:kern w:val="2"/>
          <w:sz w:val="24"/>
          <w:szCs w:val="24"/>
          <w:lang w:val="en-US" w:eastAsia="zh-CN" w:bidi="ar-SA"/>
        </w:rPr>
        <w:tab/>
      </w:r>
      <w:r>
        <w:rPr>
          <w:rFonts w:hint="default" w:ascii="Times New Roman" w:hAnsi="Times New Roman" w:eastAsia="SimSun" w:cs="Times New Roman"/>
          <w:kern w:val="2"/>
          <w:sz w:val="24"/>
          <w:szCs w:val="24"/>
          <w:lang w:val="en-US" w:eastAsia="zh-CN" w:bidi="ar-SA"/>
        </w:rPr>
        <w:t xml:space="preserve">Muscogiuri G, DeFronzo RA, Gastaldelli A, </w:t>
      </w:r>
      <w:r>
        <w:rPr>
          <w:rFonts w:hint="eastAsia" w:ascii="Times New Roman" w:hAnsi="Times New Roman" w:cs="Times New Roman"/>
          <w:kern w:val="2"/>
          <w:sz w:val="24"/>
          <w:szCs w:val="24"/>
          <w:lang w:val="en-US" w:eastAsia="zh-CN" w:bidi="ar-SA"/>
        </w:rPr>
        <w:t>et al</w:t>
      </w:r>
      <w:r>
        <w:rPr>
          <w:rFonts w:hint="default" w:ascii="Times New Roman" w:hAnsi="Times New Roman" w:eastAsia="SimSun" w:cs="Times New Roman"/>
          <w:kern w:val="2"/>
          <w:sz w:val="24"/>
          <w:szCs w:val="24"/>
          <w:lang w:val="en-US" w:eastAsia="zh-CN" w:bidi="ar-SA"/>
        </w:rPr>
        <w:t xml:space="preserve">. Glucagon-like Peptide-1 and the Central/Peripheral Nervous System: Crosstalk in Diabetes. </w:t>
      </w:r>
      <w:r>
        <w:rPr>
          <w:rFonts w:hint="default" w:ascii="Times New Roman" w:hAnsi="Times New Roman" w:eastAsia="SimSun" w:cs="Times New Roman"/>
          <w:i/>
          <w:kern w:val="2"/>
          <w:sz w:val="24"/>
          <w:szCs w:val="24"/>
          <w:lang w:val="en-US" w:eastAsia="zh-CN" w:bidi="ar-SA"/>
        </w:rPr>
        <w:t>Trends Endocrinol Metab</w:t>
      </w:r>
      <w:r>
        <w:rPr>
          <w:rFonts w:hint="default" w:ascii="Times New Roman" w:hAnsi="Times New Roman" w:eastAsia="SimSun" w:cs="Times New Roman"/>
          <w:kern w:val="2"/>
          <w:sz w:val="24"/>
          <w:szCs w:val="24"/>
          <w:lang w:val="en-US" w:eastAsia="zh-CN" w:bidi="ar-SA"/>
        </w:rPr>
        <w:t>. Feb 2017;28(2):88-103. doi:10.1016/j.tem.2016.10.001</w:t>
      </w:r>
    </w:p>
    <w:p w14:paraId="18FB92B7">
      <w:pPr>
        <w:pStyle w:val="8"/>
        <w:bidi w:val="0"/>
        <w:ind w:left="0" w:firstLine="0"/>
        <w:rPr>
          <w:rFonts w:hint="default" w:ascii="Times New Roman" w:hAnsi="Times New Roman" w:eastAsia="SimSun" w:cs="Times New Roman"/>
          <w:kern w:val="2"/>
          <w:sz w:val="24"/>
          <w:szCs w:val="24"/>
          <w:lang w:val="en-US" w:eastAsia="zh-CN" w:bidi="ar-SA"/>
        </w:rPr>
      </w:pPr>
      <w:r>
        <w:rPr>
          <w:rFonts w:hint="default" w:ascii="Times New Roman" w:hAnsi="Times New Roman" w:eastAsia="SimSun" w:cs="Times New Roman"/>
          <w:kern w:val="2"/>
          <w:sz w:val="24"/>
          <w:szCs w:val="24"/>
          <w:lang w:val="en-US" w:eastAsia="zh-CN" w:bidi="ar-SA"/>
        </w:rPr>
        <w:t>3.</w:t>
      </w:r>
      <w:r>
        <w:rPr>
          <w:rFonts w:hint="default" w:ascii="Times New Roman" w:hAnsi="Times New Roman" w:eastAsia="SimSun" w:cs="Times New Roman"/>
          <w:kern w:val="2"/>
          <w:sz w:val="24"/>
          <w:szCs w:val="24"/>
          <w:lang w:val="en-US" w:eastAsia="zh-CN" w:bidi="ar-SA"/>
        </w:rPr>
        <w:tab/>
      </w:r>
      <w:r>
        <w:rPr>
          <w:rFonts w:hint="default" w:ascii="Times New Roman" w:hAnsi="Times New Roman" w:eastAsia="SimSun" w:cs="Times New Roman"/>
          <w:kern w:val="2"/>
          <w:sz w:val="24"/>
          <w:szCs w:val="24"/>
          <w:lang w:val="en-US" w:eastAsia="zh-CN" w:bidi="ar-SA"/>
        </w:rPr>
        <w:t>Pearson-Stuttard J, Cheng YJ, Bennett J, et al. Trends in leading causes of hospitalisation of adults with diabetes in England from 2003 to 2018: an epidemiological analysis of linked primary care records. (2213-8595 (Electronic))</w:t>
      </w:r>
    </w:p>
    <w:p w14:paraId="3B790C6B">
      <w:pPr>
        <w:pStyle w:val="8"/>
        <w:bidi w:val="0"/>
        <w:ind w:left="0" w:firstLine="0"/>
        <w:rPr>
          <w:rFonts w:hint="default" w:ascii="Times New Roman" w:hAnsi="Times New Roman" w:eastAsia="SimSun" w:cs="Times New Roman"/>
          <w:kern w:val="2"/>
          <w:sz w:val="24"/>
          <w:szCs w:val="24"/>
          <w:lang w:val="en-US" w:eastAsia="zh-CN" w:bidi="ar-SA"/>
        </w:rPr>
      </w:pPr>
      <w:r>
        <w:rPr>
          <w:rFonts w:hint="default" w:ascii="Times New Roman" w:hAnsi="Times New Roman" w:eastAsia="SimSun" w:cs="Times New Roman"/>
          <w:kern w:val="2"/>
          <w:sz w:val="24"/>
          <w:szCs w:val="24"/>
          <w:lang w:val="en-US" w:eastAsia="zh-CN" w:bidi="ar-SA"/>
        </w:rPr>
        <w:t>4.</w:t>
      </w:r>
      <w:r>
        <w:rPr>
          <w:rFonts w:hint="default" w:ascii="Times New Roman" w:hAnsi="Times New Roman" w:eastAsia="SimSun" w:cs="Times New Roman"/>
          <w:kern w:val="2"/>
          <w:sz w:val="24"/>
          <w:szCs w:val="24"/>
          <w:lang w:val="en-US" w:eastAsia="zh-CN" w:bidi="ar-SA"/>
        </w:rPr>
        <w:tab/>
      </w:r>
      <w:r>
        <w:rPr>
          <w:rFonts w:hint="default" w:ascii="Times New Roman" w:hAnsi="Times New Roman" w:eastAsia="SimSun" w:cs="Times New Roman"/>
          <w:kern w:val="2"/>
          <w:sz w:val="24"/>
          <w:szCs w:val="24"/>
          <w:lang w:val="en-US" w:eastAsia="zh-CN" w:bidi="ar-SA"/>
        </w:rPr>
        <w:t>Holst JJ. The physiology of glucagon-like peptide 1. (0031-9333 (Print))</w:t>
      </w:r>
    </w:p>
    <w:p w14:paraId="72365904">
      <w:pPr>
        <w:pStyle w:val="8"/>
        <w:bidi w:val="0"/>
        <w:ind w:left="0" w:firstLine="0"/>
        <w:rPr>
          <w:rFonts w:hint="default" w:ascii="Times New Roman" w:hAnsi="Times New Roman" w:eastAsia="SimSun" w:cs="Times New Roman"/>
          <w:kern w:val="2"/>
          <w:sz w:val="24"/>
          <w:szCs w:val="24"/>
          <w:lang w:val="en-US" w:eastAsia="zh-CN" w:bidi="ar-SA"/>
        </w:rPr>
      </w:pPr>
      <w:r>
        <w:rPr>
          <w:rFonts w:hint="default" w:ascii="Times New Roman" w:hAnsi="Times New Roman" w:eastAsia="SimSun" w:cs="Times New Roman"/>
          <w:kern w:val="2"/>
          <w:sz w:val="24"/>
          <w:szCs w:val="24"/>
          <w:lang w:val="en-US" w:eastAsia="zh-CN" w:bidi="ar-SA"/>
        </w:rPr>
        <w:t>5.</w:t>
      </w:r>
      <w:r>
        <w:rPr>
          <w:rFonts w:hint="default" w:ascii="Times New Roman" w:hAnsi="Times New Roman" w:eastAsia="SimSun" w:cs="Times New Roman"/>
          <w:kern w:val="2"/>
          <w:sz w:val="24"/>
          <w:szCs w:val="24"/>
          <w:lang w:val="en-US" w:eastAsia="zh-CN" w:bidi="ar-SA"/>
        </w:rPr>
        <w:tab/>
      </w:r>
      <w:r>
        <w:rPr>
          <w:rFonts w:hint="default" w:ascii="Times New Roman" w:hAnsi="Times New Roman" w:eastAsia="SimSun" w:cs="Times New Roman"/>
          <w:kern w:val="2"/>
          <w:sz w:val="24"/>
          <w:szCs w:val="24"/>
          <w:lang w:val="en-US" w:eastAsia="zh-CN" w:bidi="ar-SA"/>
        </w:rPr>
        <w:t>Drucker DJ. The Cardiovascular Biology of Glucagon-like Peptide-1. (1932-7420 (Electronic))</w:t>
      </w:r>
    </w:p>
    <w:p w14:paraId="2199DC8B">
      <w:pPr>
        <w:pStyle w:val="8"/>
        <w:bidi w:val="0"/>
        <w:ind w:left="0" w:firstLine="0"/>
        <w:rPr>
          <w:rFonts w:hint="default" w:ascii="Times New Roman" w:hAnsi="Times New Roman" w:eastAsia="SimSun" w:cs="Times New Roman"/>
          <w:kern w:val="2"/>
          <w:sz w:val="24"/>
          <w:szCs w:val="24"/>
          <w:lang w:val="en-US" w:eastAsia="zh-CN" w:bidi="ar-SA"/>
        </w:rPr>
      </w:pPr>
      <w:r>
        <w:rPr>
          <w:rFonts w:hint="default" w:ascii="Times New Roman" w:hAnsi="Times New Roman" w:eastAsia="SimSun" w:cs="Times New Roman"/>
          <w:kern w:val="2"/>
          <w:sz w:val="24"/>
          <w:szCs w:val="24"/>
          <w:lang w:val="en-US" w:eastAsia="zh-CN" w:bidi="ar-SA"/>
        </w:rPr>
        <w:t>6.</w:t>
      </w:r>
      <w:r>
        <w:rPr>
          <w:rFonts w:hint="default" w:ascii="Times New Roman" w:hAnsi="Times New Roman" w:eastAsia="SimSun" w:cs="Times New Roman"/>
          <w:kern w:val="2"/>
          <w:sz w:val="24"/>
          <w:szCs w:val="24"/>
          <w:lang w:val="en-US" w:eastAsia="zh-CN" w:bidi="ar-SA"/>
        </w:rPr>
        <w:tab/>
      </w:r>
      <w:r>
        <w:rPr>
          <w:rFonts w:hint="default" w:ascii="Times New Roman" w:hAnsi="Times New Roman" w:eastAsia="SimSun" w:cs="Times New Roman"/>
          <w:kern w:val="2"/>
          <w:sz w:val="24"/>
          <w:szCs w:val="24"/>
          <w:lang w:val="en-US" w:eastAsia="zh-CN" w:bidi="ar-SA"/>
        </w:rPr>
        <w:t xml:space="preserve">Cukierman-Yaffe T, Gerstein HC, Colhoun HM, et al. Effect of dulaglutide on cognitive impairment in type 2 diabetes: an exploratory analysis of the REWIND trial. </w:t>
      </w:r>
      <w:r>
        <w:rPr>
          <w:rFonts w:hint="default" w:ascii="Times New Roman" w:hAnsi="Times New Roman" w:eastAsia="SimSun" w:cs="Times New Roman"/>
          <w:i/>
          <w:kern w:val="2"/>
          <w:sz w:val="24"/>
          <w:szCs w:val="24"/>
          <w:lang w:val="en-US" w:eastAsia="zh-CN" w:bidi="ar-SA"/>
        </w:rPr>
        <w:t>Lancet Neurol</w:t>
      </w:r>
      <w:r>
        <w:rPr>
          <w:rFonts w:hint="default" w:ascii="Times New Roman" w:hAnsi="Times New Roman" w:eastAsia="SimSun" w:cs="Times New Roman"/>
          <w:kern w:val="2"/>
          <w:sz w:val="24"/>
          <w:szCs w:val="24"/>
          <w:lang w:val="en-US" w:eastAsia="zh-CN" w:bidi="ar-SA"/>
        </w:rPr>
        <w:t>. Jul 2020;19(7):582-590. doi:10.1016/s1474-4422(20)30173-3</w:t>
      </w:r>
    </w:p>
    <w:p w14:paraId="4D63D460">
      <w:pPr>
        <w:pStyle w:val="8"/>
        <w:bidi w:val="0"/>
        <w:ind w:left="0" w:firstLine="0"/>
        <w:rPr>
          <w:rFonts w:hint="default" w:ascii="Times New Roman" w:hAnsi="Times New Roman" w:eastAsia="SimSun" w:cs="Times New Roman"/>
          <w:kern w:val="2"/>
          <w:sz w:val="24"/>
          <w:szCs w:val="24"/>
          <w:lang w:val="en-US" w:eastAsia="zh-CN" w:bidi="ar-SA"/>
        </w:rPr>
      </w:pPr>
      <w:r>
        <w:rPr>
          <w:rFonts w:hint="default" w:ascii="Times New Roman" w:hAnsi="Times New Roman" w:eastAsia="SimSun" w:cs="Times New Roman"/>
          <w:kern w:val="2"/>
          <w:sz w:val="24"/>
          <w:szCs w:val="24"/>
          <w:lang w:val="en-US" w:eastAsia="zh-CN" w:bidi="ar-SA"/>
        </w:rPr>
        <w:t>7.</w:t>
      </w:r>
      <w:r>
        <w:rPr>
          <w:rFonts w:hint="default" w:ascii="Times New Roman" w:hAnsi="Times New Roman" w:eastAsia="SimSun" w:cs="Times New Roman"/>
          <w:kern w:val="2"/>
          <w:sz w:val="24"/>
          <w:szCs w:val="24"/>
          <w:lang w:val="en-US" w:eastAsia="zh-CN" w:bidi="ar-SA"/>
        </w:rPr>
        <w:tab/>
      </w:r>
      <w:r>
        <w:rPr>
          <w:rFonts w:hint="default" w:ascii="Times New Roman" w:hAnsi="Times New Roman" w:eastAsia="SimSun" w:cs="Times New Roman"/>
          <w:kern w:val="2"/>
          <w:sz w:val="24"/>
          <w:szCs w:val="24"/>
          <w:lang w:val="en-US" w:eastAsia="zh-CN" w:bidi="ar-SA"/>
        </w:rPr>
        <w:t xml:space="preserve">Ghosh P, Fontanella RA, Scisciola L, et al. Targeting redox imbalance in neurodegeneration: characterizing the role of GLP-1 receptor agonists. </w:t>
      </w:r>
      <w:r>
        <w:rPr>
          <w:rFonts w:hint="default" w:ascii="Times New Roman" w:hAnsi="Times New Roman" w:eastAsia="SimSun" w:cs="Times New Roman"/>
          <w:i/>
          <w:kern w:val="2"/>
          <w:sz w:val="24"/>
          <w:szCs w:val="24"/>
          <w:lang w:val="en-US" w:eastAsia="zh-CN" w:bidi="ar-SA"/>
        </w:rPr>
        <w:t>Theranostics</w:t>
      </w:r>
      <w:r>
        <w:rPr>
          <w:rFonts w:hint="default" w:ascii="Times New Roman" w:hAnsi="Times New Roman" w:eastAsia="SimSun" w:cs="Times New Roman"/>
          <w:kern w:val="2"/>
          <w:sz w:val="24"/>
          <w:szCs w:val="24"/>
          <w:lang w:val="en-US" w:eastAsia="zh-CN" w:bidi="ar-SA"/>
        </w:rPr>
        <w:t>. 2023;13(14):4872-4884. doi:10.7150/thno.86831</w:t>
      </w:r>
    </w:p>
    <w:p w14:paraId="2C85D2F3">
      <w:pPr>
        <w:pStyle w:val="8"/>
        <w:bidi w:val="0"/>
        <w:ind w:left="0" w:firstLine="0"/>
        <w:rPr>
          <w:rFonts w:hint="default" w:ascii="Times New Roman" w:hAnsi="Times New Roman" w:eastAsia="SimSun" w:cs="Times New Roman"/>
          <w:kern w:val="2"/>
          <w:sz w:val="24"/>
          <w:szCs w:val="24"/>
          <w:lang w:val="en-US" w:eastAsia="zh-CN" w:bidi="ar-SA"/>
        </w:rPr>
      </w:pPr>
      <w:r>
        <w:rPr>
          <w:rFonts w:hint="default" w:ascii="Times New Roman" w:hAnsi="Times New Roman" w:eastAsia="SimSun" w:cs="Times New Roman"/>
          <w:kern w:val="2"/>
          <w:sz w:val="24"/>
          <w:szCs w:val="24"/>
          <w:lang w:val="en-US" w:eastAsia="zh-CN" w:bidi="ar-SA"/>
        </w:rPr>
        <w:t>8.</w:t>
      </w:r>
      <w:r>
        <w:rPr>
          <w:rFonts w:hint="default" w:ascii="Times New Roman" w:hAnsi="Times New Roman" w:eastAsia="SimSun" w:cs="Times New Roman"/>
          <w:kern w:val="2"/>
          <w:sz w:val="24"/>
          <w:szCs w:val="24"/>
          <w:lang w:val="en-US" w:eastAsia="zh-CN" w:bidi="ar-SA"/>
        </w:rPr>
        <w:tab/>
      </w:r>
      <w:r>
        <w:rPr>
          <w:rFonts w:hint="default" w:ascii="Times New Roman" w:hAnsi="Times New Roman" w:eastAsia="SimSun" w:cs="Times New Roman"/>
          <w:kern w:val="2"/>
          <w:sz w:val="24"/>
          <w:szCs w:val="24"/>
          <w:lang w:val="en-US" w:eastAsia="zh-CN" w:bidi="ar-SA"/>
        </w:rPr>
        <w:t>Beenken A, Mohammadi M. The FGF family: biology, pathophysiology and therapy. (1474-1784 (Electronic))</w:t>
      </w:r>
    </w:p>
    <w:p w14:paraId="67FA85B8">
      <w:pPr>
        <w:pStyle w:val="8"/>
        <w:bidi w:val="0"/>
        <w:ind w:left="0" w:firstLine="0"/>
        <w:rPr>
          <w:rFonts w:hint="default" w:ascii="Times New Roman" w:hAnsi="Times New Roman" w:eastAsia="SimSun" w:cs="Times New Roman"/>
          <w:kern w:val="2"/>
          <w:sz w:val="24"/>
          <w:szCs w:val="24"/>
          <w:lang w:val="en-US" w:eastAsia="zh-CN" w:bidi="ar-SA"/>
        </w:rPr>
      </w:pPr>
      <w:r>
        <w:rPr>
          <w:rFonts w:hint="default" w:ascii="Times New Roman" w:hAnsi="Times New Roman" w:eastAsia="SimSun" w:cs="Times New Roman"/>
          <w:kern w:val="2"/>
          <w:sz w:val="24"/>
          <w:szCs w:val="24"/>
          <w:lang w:val="en-US" w:eastAsia="zh-CN" w:bidi="ar-SA"/>
        </w:rPr>
        <w:t>9.</w:t>
      </w:r>
      <w:r>
        <w:rPr>
          <w:rFonts w:hint="default" w:ascii="Times New Roman" w:hAnsi="Times New Roman" w:eastAsia="SimSun" w:cs="Times New Roman"/>
          <w:kern w:val="2"/>
          <w:sz w:val="24"/>
          <w:szCs w:val="24"/>
          <w:lang w:val="en-US" w:eastAsia="zh-CN" w:bidi="ar-SA"/>
        </w:rPr>
        <w:tab/>
      </w:r>
      <w:r>
        <w:rPr>
          <w:rFonts w:hint="default" w:ascii="Times New Roman" w:hAnsi="Times New Roman" w:eastAsia="SimSun" w:cs="Times New Roman"/>
          <w:kern w:val="2"/>
          <w:sz w:val="24"/>
          <w:szCs w:val="24"/>
          <w:lang w:val="en-US" w:eastAsia="zh-CN" w:bidi="ar-SA"/>
        </w:rPr>
        <w:t>Xie Y, Su N, Yang J, et al. FGF/FGFR signaling in health and disease. (2059-3635 (Electronic))</w:t>
      </w:r>
    </w:p>
    <w:p w14:paraId="7C56A863">
      <w:pPr>
        <w:pStyle w:val="8"/>
        <w:bidi w:val="0"/>
        <w:ind w:left="0" w:firstLine="0"/>
        <w:rPr>
          <w:rFonts w:hint="default" w:ascii="Times New Roman" w:hAnsi="Times New Roman" w:eastAsia="SimSun" w:cs="Times New Roman"/>
          <w:kern w:val="2"/>
          <w:sz w:val="24"/>
          <w:szCs w:val="24"/>
          <w:lang w:val="en-US" w:eastAsia="zh-CN" w:bidi="ar-SA"/>
        </w:rPr>
      </w:pPr>
      <w:r>
        <w:rPr>
          <w:rFonts w:hint="default" w:ascii="Times New Roman" w:hAnsi="Times New Roman" w:eastAsia="SimSun" w:cs="Times New Roman"/>
          <w:kern w:val="2"/>
          <w:sz w:val="24"/>
          <w:szCs w:val="24"/>
          <w:lang w:val="en-US" w:eastAsia="zh-CN" w:bidi="ar-SA"/>
        </w:rPr>
        <w:t>10.</w:t>
      </w:r>
      <w:r>
        <w:rPr>
          <w:rFonts w:hint="default" w:ascii="Times New Roman" w:hAnsi="Times New Roman" w:eastAsia="SimSun" w:cs="Times New Roman"/>
          <w:kern w:val="2"/>
          <w:sz w:val="24"/>
          <w:szCs w:val="24"/>
          <w:lang w:val="en-US" w:eastAsia="zh-CN" w:bidi="ar-SA"/>
        </w:rPr>
        <w:tab/>
      </w:r>
      <w:r>
        <w:rPr>
          <w:rFonts w:hint="default" w:ascii="Times New Roman" w:hAnsi="Times New Roman" w:eastAsia="SimSun" w:cs="Times New Roman"/>
          <w:kern w:val="2"/>
          <w:sz w:val="24"/>
          <w:szCs w:val="24"/>
          <w:lang w:val="en-US" w:eastAsia="zh-CN" w:bidi="ar-SA"/>
        </w:rPr>
        <w:t>Katoh M. Fibroblast growth factor receptors as treatment targets in clinical oncology. (1759-4782 (Electronic))</w:t>
      </w:r>
    </w:p>
    <w:p w14:paraId="41527ABD">
      <w:pPr>
        <w:pStyle w:val="8"/>
        <w:bidi w:val="0"/>
        <w:ind w:left="0" w:firstLine="0"/>
        <w:rPr>
          <w:rFonts w:hint="default" w:ascii="Times New Roman" w:hAnsi="Times New Roman" w:eastAsia="SimSun" w:cs="Times New Roman"/>
          <w:kern w:val="2"/>
          <w:sz w:val="24"/>
          <w:szCs w:val="24"/>
          <w:lang w:val="en-US" w:eastAsia="zh-CN" w:bidi="ar-SA"/>
        </w:rPr>
      </w:pPr>
      <w:r>
        <w:rPr>
          <w:rFonts w:hint="default" w:ascii="Times New Roman" w:hAnsi="Times New Roman" w:eastAsia="SimSun" w:cs="Times New Roman"/>
          <w:kern w:val="2"/>
          <w:sz w:val="24"/>
          <w:szCs w:val="24"/>
          <w:lang w:val="en-US" w:eastAsia="zh-CN" w:bidi="ar-SA"/>
        </w:rPr>
        <w:t>11.</w:t>
      </w:r>
      <w:r>
        <w:rPr>
          <w:rFonts w:hint="default" w:ascii="Times New Roman" w:hAnsi="Times New Roman" w:eastAsia="SimSun" w:cs="Times New Roman"/>
          <w:kern w:val="2"/>
          <w:sz w:val="24"/>
          <w:szCs w:val="24"/>
          <w:lang w:val="en-US" w:eastAsia="zh-CN" w:bidi="ar-SA"/>
        </w:rPr>
        <w:tab/>
      </w:r>
      <w:r>
        <w:rPr>
          <w:rFonts w:hint="default" w:ascii="Times New Roman" w:hAnsi="Times New Roman" w:eastAsia="SimSun" w:cs="Times New Roman"/>
          <w:kern w:val="2"/>
          <w:sz w:val="24"/>
          <w:szCs w:val="24"/>
          <w:lang w:val="en-US" w:eastAsia="zh-CN" w:bidi="ar-SA"/>
        </w:rPr>
        <w:t>Dienstmann R, Villacampa G, Sveen A, et al. Relative contribution of clinicopathological variables, genomic markers, transcriptomic subtyping and microenvironment features for outcome prediction in stage II/III colorectal cancer. (1569-8041 (Electronic))</w:t>
      </w:r>
    </w:p>
    <w:p w14:paraId="448323EC">
      <w:pPr>
        <w:pStyle w:val="8"/>
        <w:bidi w:val="0"/>
        <w:ind w:left="0" w:firstLine="0"/>
        <w:rPr>
          <w:rFonts w:hint="default" w:ascii="Times New Roman" w:hAnsi="Times New Roman" w:eastAsia="SimSun" w:cs="Times New Roman"/>
          <w:kern w:val="2"/>
          <w:sz w:val="24"/>
          <w:szCs w:val="24"/>
          <w:lang w:val="en-US" w:eastAsia="zh-CN" w:bidi="ar-SA"/>
        </w:rPr>
      </w:pPr>
      <w:r>
        <w:rPr>
          <w:rFonts w:hint="default" w:ascii="Times New Roman" w:hAnsi="Times New Roman" w:eastAsia="SimSun" w:cs="Times New Roman"/>
          <w:kern w:val="2"/>
          <w:sz w:val="24"/>
          <w:szCs w:val="24"/>
          <w:lang w:val="en-US" w:eastAsia="zh-CN" w:bidi="ar-SA"/>
        </w:rPr>
        <w:t>12.</w:t>
      </w:r>
      <w:r>
        <w:rPr>
          <w:rFonts w:hint="default" w:ascii="Times New Roman" w:hAnsi="Times New Roman" w:eastAsia="SimSun" w:cs="Times New Roman"/>
          <w:kern w:val="2"/>
          <w:sz w:val="24"/>
          <w:szCs w:val="24"/>
          <w:lang w:val="en-US" w:eastAsia="zh-CN" w:bidi="ar-SA"/>
        </w:rPr>
        <w:tab/>
      </w:r>
      <w:r>
        <w:rPr>
          <w:rFonts w:hint="default" w:ascii="Times New Roman" w:hAnsi="Times New Roman" w:eastAsia="SimSun" w:cs="Times New Roman"/>
          <w:kern w:val="2"/>
          <w:sz w:val="24"/>
          <w:szCs w:val="24"/>
          <w:lang w:val="en-US" w:eastAsia="zh-CN" w:bidi="ar-SA"/>
        </w:rPr>
        <w:t xml:space="preserve">Zhao M, Li D Fau - Shimazu K, Shimazu K Fau - Zhou Y-X, </w:t>
      </w:r>
      <w:r>
        <w:rPr>
          <w:rFonts w:hint="eastAsia" w:ascii="Times New Roman" w:hAnsi="Times New Roman" w:cs="Times New Roman"/>
          <w:kern w:val="2"/>
          <w:sz w:val="24"/>
          <w:szCs w:val="24"/>
          <w:lang w:val="en-US" w:eastAsia="zh-CN" w:bidi="ar-SA"/>
        </w:rPr>
        <w:t>et al</w:t>
      </w:r>
      <w:r>
        <w:rPr>
          <w:rFonts w:hint="default" w:ascii="Times New Roman" w:hAnsi="Times New Roman" w:eastAsia="SimSun" w:cs="Times New Roman"/>
          <w:kern w:val="2"/>
          <w:sz w:val="24"/>
          <w:szCs w:val="24"/>
          <w:lang w:val="en-US" w:eastAsia="zh-CN" w:bidi="ar-SA"/>
        </w:rPr>
        <w:t>. Fibroblast growth factor receptor-1 is required for long-term potentiation, memory consolidation, and neurogenesis. (0006-3223 (Print))</w:t>
      </w:r>
    </w:p>
    <w:p w14:paraId="7A4808EC">
      <w:pPr>
        <w:pStyle w:val="8"/>
        <w:bidi w:val="0"/>
        <w:ind w:left="0" w:firstLine="0"/>
        <w:rPr>
          <w:rFonts w:hint="default" w:ascii="Times New Roman" w:hAnsi="Times New Roman" w:eastAsia="SimSun" w:cs="Times New Roman"/>
          <w:kern w:val="2"/>
          <w:sz w:val="24"/>
          <w:szCs w:val="24"/>
          <w:lang w:val="en-US" w:eastAsia="zh-CN" w:bidi="ar-SA"/>
        </w:rPr>
      </w:pPr>
      <w:r>
        <w:rPr>
          <w:rFonts w:hint="default" w:ascii="Times New Roman" w:hAnsi="Times New Roman" w:eastAsia="SimSun" w:cs="Times New Roman"/>
          <w:kern w:val="2"/>
          <w:sz w:val="24"/>
          <w:szCs w:val="24"/>
          <w:lang w:val="en-US" w:eastAsia="zh-CN" w:bidi="ar-SA"/>
        </w:rPr>
        <w:t>13.</w:t>
      </w:r>
      <w:r>
        <w:rPr>
          <w:rFonts w:hint="default" w:ascii="Times New Roman" w:hAnsi="Times New Roman" w:eastAsia="SimSun" w:cs="Times New Roman"/>
          <w:kern w:val="2"/>
          <w:sz w:val="24"/>
          <w:szCs w:val="24"/>
          <w:lang w:val="en-US" w:eastAsia="zh-CN" w:bidi="ar-SA"/>
        </w:rPr>
        <w:tab/>
      </w:r>
      <w:r>
        <w:rPr>
          <w:rFonts w:hint="default" w:ascii="Times New Roman" w:hAnsi="Times New Roman" w:eastAsia="SimSun" w:cs="Times New Roman"/>
          <w:kern w:val="2"/>
          <w:sz w:val="24"/>
          <w:szCs w:val="24"/>
          <w:lang w:val="en-US" w:eastAsia="zh-CN" w:bidi="ar-SA"/>
        </w:rPr>
        <w:t>Zhang Y, Wang Y, Li Y, et al. Methionine restriction alleviates diabetes-associated cognitive impairment via activation of FGF21. (2213-2317 (Electronic))</w:t>
      </w:r>
    </w:p>
    <w:p w14:paraId="70A4A4CA">
      <w:pPr>
        <w:pStyle w:val="8"/>
        <w:bidi w:val="0"/>
        <w:ind w:left="0" w:firstLine="0"/>
        <w:rPr>
          <w:rFonts w:hint="default" w:ascii="Times New Roman" w:hAnsi="Times New Roman" w:eastAsia="SimSun" w:cs="Times New Roman"/>
          <w:kern w:val="2"/>
          <w:sz w:val="24"/>
          <w:szCs w:val="24"/>
          <w:lang w:val="en-US" w:eastAsia="zh-CN" w:bidi="ar-SA"/>
        </w:rPr>
      </w:pPr>
      <w:r>
        <w:rPr>
          <w:rFonts w:hint="default" w:ascii="Times New Roman" w:hAnsi="Times New Roman" w:eastAsia="SimSun" w:cs="Times New Roman"/>
          <w:kern w:val="2"/>
          <w:sz w:val="24"/>
          <w:szCs w:val="24"/>
          <w:lang w:val="en-US" w:eastAsia="zh-CN" w:bidi="ar-SA"/>
        </w:rPr>
        <w:t>14.</w:t>
      </w:r>
      <w:r>
        <w:rPr>
          <w:rFonts w:hint="default" w:ascii="Times New Roman" w:hAnsi="Times New Roman" w:eastAsia="SimSun" w:cs="Times New Roman"/>
          <w:kern w:val="2"/>
          <w:sz w:val="24"/>
          <w:szCs w:val="24"/>
          <w:lang w:val="en-US" w:eastAsia="zh-CN" w:bidi="ar-SA"/>
        </w:rPr>
        <w:tab/>
      </w:r>
      <w:r>
        <w:rPr>
          <w:rFonts w:hint="default" w:ascii="Times New Roman" w:hAnsi="Times New Roman" w:eastAsia="SimSun" w:cs="Times New Roman"/>
          <w:kern w:val="2"/>
          <w:sz w:val="24"/>
          <w:szCs w:val="24"/>
          <w:lang w:val="en-US" w:eastAsia="zh-CN" w:bidi="ar-SA"/>
        </w:rPr>
        <w:t>Plubell DL, Wilmarth PA, Zhao Y, et al. Extended Multiplexing of Tandem Mass Tags (TMT) Labeling Reveals Age and High Fat Diet Specific Proteome Changes in Mouse Epididymal Adipose Tissue. (1535-9484 (Electronic))</w:t>
      </w:r>
    </w:p>
    <w:p w14:paraId="68053F57">
      <w:pPr>
        <w:pStyle w:val="8"/>
        <w:bidi w:val="0"/>
        <w:ind w:left="0" w:firstLine="0"/>
        <w:rPr>
          <w:rFonts w:hint="default" w:ascii="Times New Roman" w:hAnsi="Times New Roman" w:eastAsia="SimSun" w:cs="Times New Roman"/>
          <w:kern w:val="2"/>
          <w:sz w:val="24"/>
          <w:szCs w:val="24"/>
          <w:lang w:val="en-US" w:eastAsia="zh-CN" w:bidi="ar-SA"/>
        </w:rPr>
      </w:pPr>
      <w:r>
        <w:rPr>
          <w:rFonts w:hint="default" w:ascii="Times New Roman" w:hAnsi="Times New Roman" w:eastAsia="SimSun" w:cs="Times New Roman"/>
          <w:kern w:val="2"/>
          <w:sz w:val="24"/>
          <w:szCs w:val="24"/>
          <w:lang w:val="en-US" w:eastAsia="zh-CN" w:bidi="ar-SA"/>
        </w:rPr>
        <w:t>15.</w:t>
      </w:r>
      <w:r>
        <w:rPr>
          <w:rFonts w:hint="default" w:ascii="Times New Roman" w:hAnsi="Times New Roman" w:eastAsia="SimSun" w:cs="Times New Roman"/>
          <w:kern w:val="2"/>
          <w:sz w:val="24"/>
          <w:szCs w:val="24"/>
          <w:lang w:val="en-US" w:eastAsia="zh-CN" w:bidi="ar-SA"/>
        </w:rPr>
        <w:tab/>
      </w:r>
      <w:r>
        <w:rPr>
          <w:rFonts w:hint="default" w:ascii="Times New Roman" w:hAnsi="Times New Roman" w:eastAsia="SimSun" w:cs="Times New Roman"/>
          <w:kern w:val="2"/>
          <w:sz w:val="24"/>
          <w:szCs w:val="24"/>
          <w:lang w:val="en-US" w:eastAsia="zh-CN" w:bidi="ar-SA"/>
        </w:rPr>
        <w:t>Bi C, Fu Y, Li B. Brain-derived neurotrophic factor alleviates diabetes mellitus-accelerated atherosclerosis by promoting M2 polarization of macrophages through repressing the STAT3 pathway. (1873-3913 (Electronic))</w:t>
      </w:r>
    </w:p>
    <w:p w14:paraId="27B9169E">
      <w:pPr>
        <w:pStyle w:val="8"/>
        <w:bidi w:val="0"/>
        <w:ind w:left="0" w:firstLine="0"/>
        <w:rPr>
          <w:rFonts w:hint="default" w:ascii="Times New Roman" w:hAnsi="Times New Roman" w:eastAsia="SimSun" w:cs="Times New Roman"/>
          <w:kern w:val="2"/>
          <w:sz w:val="24"/>
          <w:szCs w:val="24"/>
          <w:lang w:val="en-US" w:eastAsia="zh-CN" w:bidi="ar-SA"/>
        </w:rPr>
      </w:pPr>
      <w:r>
        <w:rPr>
          <w:rFonts w:hint="default" w:ascii="Times New Roman" w:hAnsi="Times New Roman" w:eastAsia="SimSun" w:cs="Times New Roman"/>
          <w:kern w:val="2"/>
          <w:sz w:val="24"/>
          <w:szCs w:val="24"/>
          <w:lang w:val="en-US" w:eastAsia="zh-CN" w:bidi="ar-SA"/>
        </w:rPr>
        <w:t>16.</w:t>
      </w:r>
      <w:r>
        <w:rPr>
          <w:rFonts w:hint="default" w:ascii="Times New Roman" w:hAnsi="Times New Roman" w:eastAsia="SimSun" w:cs="Times New Roman"/>
          <w:kern w:val="2"/>
          <w:sz w:val="24"/>
          <w:szCs w:val="24"/>
          <w:lang w:val="en-US" w:eastAsia="zh-CN" w:bidi="ar-SA"/>
        </w:rPr>
        <w:tab/>
      </w:r>
      <w:r>
        <w:rPr>
          <w:rFonts w:hint="default" w:ascii="Times New Roman" w:hAnsi="Times New Roman" w:eastAsia="SimSun" w:cs="Times New Roman"/>
          <w:kern w:val="2"/>
          <w:sz w:val="24"/>
          <w:szCs w:val="24"/>
          <w:lang w:val="en-US" w:eastAsia="zh-CN" w:bidi="ar-SA"/>
        </w:rPr>
        <w:t>Marshad RA, Khatib RA, Amer H, et al. Streptozotocin-induced diabetes mellitus affects the NMDA receptors: Role of caffeine administration in enhancing learning, memory and locomotor deficits. (1658-3639 (Print))</w:t>
      </w:r>
    </w:p>
    <w:p w14:paraId="7D53F23D">
      <w:pPr>
        <w:pStyle w:val="8"/>
        <w:bidi w:val="0"/>
        <w:ind w:left="0" w:firstLine="0"/>
        <w:rPr>
          <w:rFonts w:hint="default" w:ascii="Times New Roman" w:hAnsi="Times New Roman" w:eastAsia="SimSun" w:cs="Times New Roman"/>
          <w:kern w:val="2"/>
          <w:sz w:val="24"/>
          <w:szCs w:val="24"/>
          <w:lang w:val="en-US" w:eastAsia="zh-CN" w:bidi="ar-SA"/>
        </w:rPr>
      </w:pPr>
      <w:r>
        <w:rPr>
          <w:rFonts w:hint="default" w:ascii="Times New Roman" w:hAnsi="Times New Roman" w:eastAsia="SimSun" w:cs="Times New Roman"/>
          <w:kern w:val="2"/>
          <w:sz w:val="24"/>
          <w:szCs w:val="24"/>
          <w:lang w:val="en-US" w:eastAsia="zh-CN" w:bidi="ar-SA"/>
        </w:rPr>
        <w:t>17.</w:t>
      </w:r>
      <w:r>
        <w:rPr>
          <w:rFonts w:hint="default" w:ascii="Times New Roman" w:hAnsi="Times New Roman" w:eastAsia="SimSun" w:cs="Times New Roman"/>
          <w:kern w:val="2"/>
          <w:sz w:val="24"/>
          <w:szCs w:val="24"/>
          <w:lang w:val="en-US" w:eastAsia="zh-CN" w:bidi="ar-SA"/>
        </w:rPr>
        <w:tab/>
      </w:r>
      <w:r>
        <w:rPr>
          <w:rFonts w:hint="default" w:ascii="Times New Roman" w:hAnsi="Times New Roman" w:eastAsia="SimSun" w:cs="Times New Roman"/>
          <w:kern w:val="2"/>
          <w:sz w:val="24"/>
          <w:szCs w:val="24"/>
          <w:lang w:val="en-US" w:eastAsia="zh-CN" w:bidi="ar-SA"/>
        </w:rPr>
        <w:t xml:space="preserve">Li S, Huang N, Wang M, </w:t>
      </w:r>
      <w:r>
        <w:rPr>
          <w:rFonts w:hint="eastAsia" w:ascii="Times New Roman" w:hAnsi="Times New Roman" w:cs="Times New Roman"/>
          <w:kern w:val="2"/>
          <w:sz w:val="24"/>
          <w:szCs w:val="24"/>
          <w:lang w:val="en-US" w:eastAsia="zh-CN" w:bidi="ar-SA"/>
        </w:rPr>
        <w:t>et al.</w:t>
      </w:r>
      <w:r>
        <w:rPr>
          <w:rFonts w:hint="default" w:ascii="Times New Roman" w:hAnsi="Times New Roman" w:eastAsia="SimSun" w:cs="Times New Roman"/>
          <w:kern w:val="2"/>
          <w:sz w:val="24"/>
          <w:szCs w:val="24"/>
          <w:lang w:val="en-US" w:eastAsia="zh-CN" w:bidi="ar-SA"/>
        </w:rPr>
        <w:t xml:space="preserve"> GLP-1R in diabetes mellitus: from basic discovery to therapeutics development. (1663-9812 (Print))</w:t>
      </w:r>
    </w:p>
    <w:p w14:paraId="3FCDACA7">
      <w:pPr>
        <w:pStyle w:val="8"/>
        <w:bidi w:val="0"/>
        <w:ind w:left="0" w:firstLine="0"/>
        <w:rPr>
          <w:rFonts w:hint="default" w:ascii="Times New Roman" w:hAnsi="Times New Roman" w:eastAsia="SimSun" w:cs="Times New Roman"/>
          <w:kern w:val="2"/>
          <w:sz w:val="24"/>
          <w:szCs w:val="24"/>
          <w:lang w:val="en-US" w:eastAsia="zh-CN" w:bidi="ar-SA"/>
        </w:rPr>
      </w:pPr>
      <w:r>
        <w:rPr>
          <w:rFonts w:hint="default" w:ascii="Times New Roman" w:hAnsi="Times New Roman" w:eastAsia="SimSun" w:cs="Times New Roman"/>
          <w:kern w:val="2"/>
          <w:sz w:val="24"/>
          <w:szCs w:val="24"/>
          <w:lang w:val="en-US" w:eastAsia="zh-CN" w:bidi="ar-SA"/>
        </w:rPr>
        <w:t>18.</w:t>
      </w:r>
      <w:r>
        <w:rPr>
          <w:rFonts w:hint="default" w:ascii="Times New Roman" w:hAnsi="Times New Roman" w:eastAsia="SimSun" w:cs="Times New Roman"/>
          <w:kern w:val="2"/>
          <w:sz w:val="24"/>
          <w:szCs w:val="24"/>
          <w:lang w:val="en-US" w:eastAsia="zh-CN" w:bidi="ar-SA"/>
        </w:rPr>
        <w:tab/>
      </w:r>
      <w:r>
        <w:rPr>
          <w:rFonts w:hint="default" w:ascii="Times New Roman" w:hAnsi="Times New Roman" w:eastAsia="SimSun" w:cs="Times New Roman"/>
          <w:kern w:val="2"/>
          <w:sz w:val="24"/>
          <w:szCs w:val="24"/>
          <w:lang w:val="en-US" w:eastAsia="zh-CN" w:bidi="ar-SA"/>
        </w:rPr>
        <w:t xml:space="preserve">Luo Y, Kuang S, Li H, </w:t>
      </w:r>
      <w:r>
        <w:rPr>
          <w:rFonts w:hint="eastAsia" w:ascii="Times New Roman" w:hAnsi="Times New Roman" w:cs="Times New Roman"/>
          <w:kern w:val="2"/>
          <w:sz w:val="24"/>
          <w:szCs w:val="24"/>
          <w:lang w:val="en-US" w:eastAsia="zh-CN" w:bidi="ar-SA"/>
        </w:rPr>
        <w:t>et al</w:t>
      </w:r>
      <w:r>
        <w:rPr>
          <w:rFonts w:hint="default" w:ascii="Times New Roman" w:hAnsi="Times New Roman" w:eastAsia="SimSun" w:cs="Times New Roman"/>
          <w:kern w:val="2"/>
          <w:sz w:val="24"/>
          <w:szCs w:val="24"/>
          <w:lang w:val="en-US" w:eastAsia="zh-CN" w:bidi="ar-SA"/>
        </w:rPr>
        <w:t>. cAMP/PKA-CREB-BDNF signaling pathway in hippocampus mediates cyclooxygenase 2-induced learning/memory deficits of rats subjected to chronic unpredictable mild stress. (1949-2553 (Electronic))</w:t>
      </w:r>
    </w:p>
    <w:p w14:paraId="0E42387F">
      <w:pPr>
        <w:rPr>
          <w:rFonts w:hint="eastAsia" w:eastAsia="SimSun"/>
          <w:lang w:eastAsia="zh-CN"/>
        </w:rPr>
      </w:pPr>
      <w:r>
        <w:rPr>
          <w:rFonts w:hint="default" w:ascii="Times New Roman" w:hAnsi="Times New Roman" w:eastAsia="SimSun" w:cs="Times New Roman"/>
          <w:sz w:val="24"/>
          <w:szCs w:val="24"/>
          <w:lang w:eastAsia="zh-CN"/>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Arial">
    <w:panose1 w:val="020B0704020202020204"/>
    <w:charset w:val="00"/>
    <w:family w:val="swiss"/>
    <w:pitch w:val="default"/>
    <w:sig w:usb0="E0002AFF" w:usb1="C0007843" w:usb2="00000009" w:usb3="00000000" w:csb0="400001FF" w:csb1="FFFF0000"/>
  </w:font>
  <w:font w:name="SimHei">
    <w:altName w:val="汉仪中黑KW"/>
    <w:panose1 w:val="02010600030101010101"/>
    <w:charset w:val="00"/>
    <w:family w:val="auto"/>
    <w:pitch w:val="default"/>
    <w:sig w:usb0="00000001" w:usb1="080E0000" w:usb2="00000010" w:usb3="00000000" w:csb0="00040000" w:csb1="00000000"/>
  </w:font>
  <w:font w:name="Courier New">
    <w:panose1 w:val="02070609020205020404"/>
    <w:charset w:val="00"/>
    <w:family w:val="modern"/>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imSun">
    <w:altName w:val="汉仪书宋二KW"/>
    <w:panose1 w:val="02010600030101010101"/>
    <w:charset w:val="86"/>
    <w:family w:val="auto"/>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926AE0"/>
    <w:multiLevelType w:val="singleLevel"/>
    <w:tmpl w:val="FD926AE0"/>
    <w:lvl w:ilvl="0" w:tentative="0">
      <w:start w:val="4"/>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1BB7328"/>
    <w:rsid w:val="7EF7A388"/>
    <w:rsid w:val="7FF471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SimSun" w:cs="SimSu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SimSun" w:cs="SimSun"/>
      <w:kern w:val="2"/>
      <w:sz w:val="21"/>
      <w:szCs w:val="24"/>
      <w:lang w:val="en-US" w:eastAsia="zh-CN" w:bidi="ar-SA"/>
    </w:rPr>
  </w:style>
  <w:style w:type="character" w:default="1" w:styleId="2">
    <w:name w:val="Default Paragraph Font"/>
    <w:qFormat/>
    <w:uiPriority w:val="0"/>
  </w:style>
  <w:style w:type="table" w:default="1" w:styleId="3">
    <w:name w:val="Normal Table"/>
    <w:uiPriority w:val="0"/>
    <w:tblPr>
      <w:tblCellMar>
        <w:top w:w="0" w:type="dxa"/>
        <w:left w:w="108" w:type="dxa"/>
        <w:bottom w:w="0" w:type="dxa"/>
        <w:right w:w="108" w:type="dxa"/>
      </w:tblCellMar>
    </w:tblPr>
  </w:style>
  <w:style w:type="paragraph" w:styleId="4">
    <w:name w:val="annotation text"/>
    <w:basedOn w:val="1"/>
    <w:uiPriority w:val="0"/>
    <w:pPr>
      <w:jc w:val="left"/>
    </w:pPr>
  </w:style>
  <w:style w:type="paragraph" w:styleId="5">
    <w:name w:val="Normal (Web)"/>
    <w:basedOn w:val="1"/>
    <w:qFormat/>
    <w:uiPriority w:val="0"/>
    <w:pPr>
      <w:widowControl/>
      <w:spacing w:beforeAutospacing="1" w:afterAutospacing="1"/>
      <w:jc w:val="left"/>
    </w:pPr>
    <w:rPr>
      <w:rFonts w:ascii="SimSun" w:hAnsi="SimSun" w:eastAsia="SimSun" w:cs="Times New Roman"/>
      <w:kern w:val="0"/>
      <w:sz w:val="24"/>
    </w:rPr>
  </w:style>
  <w:style w:type="paragraph" w:customStyle="1" w:styleId="6">
    <w:name w:val="书目1"/>
    <w:basedOn w:val="1"/>
    <w:qFormat/>
    <w:uiPriority w:val="0"/>
    <w:pPr>
      <w:tabs>
        <w:tab w:val="left" w:pos="264"/>
      </w:tabs>
      <w:spacing w:after="240"/>
      <w:ind w:left="264" w:hanging="264"/>
    </w:pPr>
  </w:style>
  <w:style w:type="paragraph" w:customStyle="1" w:styleId="7">
    <w:name w:val="EndNote Bibliography Title"/>
    <w:uiPriority w:val="0"/>
    <w:pPr>
      <w:pBdr>
        <w:top w:val="none" w:color="auto" w:sz="0" w:space="0"/>
        <w:left w:val="none" w:color="auto" w:sz="0" w:space="0"/>
        <w:bottom w:val="none" w:color="auto" w:sz="0" w:space="0"/>
        <w:right w:val="none" w:color="auto" w:sz="0" w:space="0"/>
        <w:between w:val="none" w:color="auto" w:sz="0" w:space="0"/>
      </w:pBdr>
      <w:jc w:val="center"/>
    </w:pPr>
    <w:rPr>
      <w:rFonts w:ascii="Calibri" w:hAnsi="Calibri" w:eastAsia="SimSun" w:cs="Calibri"/>
      <w:kern w:val="2"/>
      <w:sz w:val="20"/>
      <w:szCs w:val="24"/>
      <w:lang w:val="en-US" w:eastAsia="zh-CN" w:bidi="ar-SA"/>
    </w:rPr>
  </w:style>
  <w:style w:type="paragraph" w:customStyle="1" w:styleId="8">
    <w:name w:val="EndNote Bibliography"/>
    <w:uiPriority w:val="0"/>
    <w:pPr>
      <w:pBdr>
        <w:top w:val="none" w:color="auto" w:sz="0" w:space="0"/>
        <w:left w:val="none" w:color="auto" w:sz="0" w:space="0"/>
        <w:bottom w:val="none" w:color="auto" w:sz="0" w:space="0"/>
        <w:right w:val="none" w:color="auto" w:sz="0" w:space="0"/>
        <w:between w:val="none" w:color="auto" w:sz="0" w:space="0"/>
      </w:pBdr>
      <w:jc w:val="both"/>
    </w:pPr>
    <w:rPr>
      <w:rFonts w:ascii="Calibri" w:hAnsi="Calibri" w:eastAsia="SimSun" w:cs="Calibri"/>
      <w:kern w:val="2"/>
      <w:sz w:val="20"/>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2794</Words>
  <Characters>17854</Characters>
  <Paragraphs>87</Paragraphs>
  <TotalTime>50</TotalTime>
  <ScaleCrop>false</ScaleCrop>
  <LinksUpToDate>false</LinksUpToDate>
  <CharactersWithSpaces>20581</CharactersWithSpaces>
  <Application>WPS Office_6.15.0.8733_F1E327BC-269C-435d-A152-05C5408002CA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2025-07-09T14:07:00Z</dcterms:created>
  <dc:creator>徐可</dc:creator>
  <cp:lastModifiedBy>Fabio</cp:lastModifiedBy>
  <dcterms:modified xsi:type="dcterms:W3CDTF">2025-07-10T15:36:47Z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1033-6.15.0.8733</vt:lpwstr>
  </property>
  <property fmtid="{D5CDD505-2E9C-101B-9397-08002B2CF9AE}" pid="3" name="KSOTemplateDocerSaveRecord">
    <vt:lpwstr>eyJoZGlkIjoiOGZkNTMxYTljZDI1YTcyM2RiMDA1MzBhMDZjYzM4OTgiLCJ1c2VySWQiOiI3NTU2ODg4MTIifQ==</vt:lpwstr>
  </property>
  <property fmtid="{D5CDD505-2E9C-101B-9397-08002B2CF9AE}" pid="4" name="ICV">
    <vt:lpwstr>29116BFFC22B3C3FFFCF6F68C9B694B3_43</vt:lpwstr>
  </property>
</Properties>
</file>