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FBFA5" w14:textId="77777777" w:rsidR="009C0A5E" w:rsidRPr="00CB6B43" w:rsidRDefault="00000000">
      <w:pPr>
        <w:spacing w:line="360" w:lineRule="auto"/>
        <w:jc w:val="center"/>
        <w:rPr>
          <w:b/>
          <w:bCs/>
          <w:sz w:val="40"/>
          <w:szCs w:val="40"/>
        </w:rPr>
      </w:pPr>
      <w:r w:rsidRPr="00CB6B43">
        <w:rPr>
          <w:rFonts w:hint="eastAsia"/>
          <w:b/>
          <w:bCs/>
          <w:sz w:val="40"/>
          <w:szCs w:val="40"/>
        </w:rPr>
        <w:t xml:space="preserve">Yaqi ZHU </w:t>
      </w:r>
    </w:p>
    <w:p w14:paraId="4297D25E" w14:textId="77777777" w:rsidR="009C0A5E" w:rsidRPr="00CB6B43" w:rsidRDefault="00000000">
      <w:pPr>
        <w:pStyle w:val="af7"/>
        <w:spacing w:beforeLines="0" w:before="0" w:line="360" w:lineRule="auto"/>
        <w:jc w:val="center"/>
        <w:rPr>
          <w:rFonts w:ascii="Times New Roman" w:eastAsia="宋体" w:hAnsi="Times New Roman" w:cs="Times New Roman"/>
          <w:sz w:val="20"/>
          <w:szCs w:val="20"/>
        </w:rPr>
      </w:pPr>
      <w:r w:rsidRPr="00CB6B43">
        <w:rPr>
          <w:rFonts w:ascii="Times New Roman" w:eastAsia="宋体" w:hAnsi="Times New Roman" w:cs="Times New Roman"/>
          <w:sz w:val="20"/>
          <w:szCs w:val="20"/>
        </w:rPr>
        <w:t>Tel:</w:t>
      </w:r>
      <w:r w:rsidRPr="00CB6B43">
        <w:rPr>
          <w:rFonts w:ascii="Times New Roman" w:eastAsia="宋体" w:hAnsi="Times New Roman" w:cs="Times New Roman"/>
          <w:b w:val="0"/>
          <w:bCs w:val="0"/>
          <w:sz w:val="20"/>
          <w:szCs w:val="20"/>
        </w:rPr>
        <w:t xml:space="preserve"> (86) 18828015214</w:t>
      </w:r>
      <w:r w:rsidRPr="00CB6B43">
        <w:rPr>
          <w:rFonts w:ascii="Times New Roman" w:eastAsia="宋体" w:hAnsi="Times New Roman" w:cs="Times New Roman"/>
          <w:sz w:val="20"/>
          <w:szCs w:val="20"/>
        </w:rPr>
        <w:tab/>
        <w:t xml:space="preserve">Email: </w:t>
      </w:r>
      <w:r w:rsidRPr="00CB6B43">
        <w:rPr>
          <w:rFonts w:ascii="Times New Roman" w:eastAsia="宋体" w:hAnsi="Times New Roman" w:cs="Times New Roman"/>
          <w:b w:val="0"/>
          <w:bCs w:val="0"/>
          <w:sz w:val="20"/>
          <w:szCs w:val="20"/>
        </w:rPr>
        <w:t>zhu14202@gtiit.edu.cn</w:t>
      </w:r>
    </w:p>
    <w:p w14:paraId="556E272F" w14:textId="77777777" w:rsidR="009C0A5E" w:rsidRPr="00CB6B43" w:rsidRDefault="00000000">
      <w:pPr>
        <w:pStyle w:val="af7"/>
        <w:spacing w:beforeLines="0" w:before="0" w:line="360" w:lineRule="auto"/>
        <w:jc w:val="center"/>
        <w:rPr>
          <w:rFonts w:ascii="Times New Roman" w:eastAsia="宋体" w:hAnsi="Times New Roman" w:cs="Times New Roman"/>
          <w:b w:val="0"/>
          <w:bCs w:val="0"/>
          <w:sz w:val="20"/>
          <w:szCs w:val="20"/>
          <w:lang w:val="en-US"/>
        </w:rPr>
      </w:pPr>
      <w:r w:rsidRPr="00CB6B43">
        <w:rPr>
          <w:rFonts w:ascii="Times New Roman" w:eastAsia="宋体" w:hAnsi="Times New Roman" w:cs="Times New Roman"/>
          <w:sz w:val="20"/>
          <w:szCs w:val="20"/>
        </w:rPr>
        <w:t xml:space="preserve">Address: </w:t>
      </w:r>
      <w:r w:rsidRPr="00CB6B43">
        <w:rPr>
          <w:rFonts w:ascii="Times New Roman" w:eastAsia="宋体" w:hAnsi="Times New Roman" w:cs="Times New Roman"/>
          <w:b w:val="0"/>
          <w:bCs w:val="0"/>
          <w:sz w:val="20"/>
          <w:szCs w:val="20"/>
        </w:rPr>
        <w:t>No.241, University Road, Shantou City, Guangdong Province, China</w:t>
      </w:r>
      <w:r w:rsidRPr="00CB6B43">
        <w:rPr>
          <w:rFonts w:ascii="Times New Roman" w:eastAsia="宋体" w:hAnsi="Times New Roman" w:cs="Times New Roman" w:hint="eastAsia"/>
          <w:b w:val="0"/>
          <w:bCs w:val="0"/>
          <w:sz w:val="20"/>
          <w:szCs w:val="20"/>
        </w:rPr>
        <w:t xml:space="preserve">, </w:t>
      </w:r>
      <w:r w:rsidRPr="00CB6B43">
        <w:rPr>
          <w:rFonts w:ascii="Times New Roman" w:hAnsi="Times New Roman" w:hint="eastAsia"/>
          <w:b w:val="0"/>
          <w:bCs w:val="0"/>
          <w:sz w:val="18"/>
          <w:szCs w:val="18"/>
        </w:rPr>
        <w:t>515063</w:t>
      </w:r>
    </w:p>
    <w:p w14:paraId="635B8342" w14:textId="42F8E972" w:rsidR="009C0A5E" w:rsidRPr="00CB6B43" w:rsidRDefault="00000000">
      <w:pPr>
        <w:pStyle w:val="af7"/>
        <w:spacing w:beforeLines="0" w:before="0" w:line="360" w:lineRule="auto"/>
        <w:jc w:val="center"/>
        <w:rPr>
          <w:rFonts w:ascii="Times New Roman" w:eastAsia="宋体" w:hAnsi="Times New Roman" w:cs="Times New Roman"/>
          <w:b w:val="0"/>
          <w:bCs w:val="0"/>
          <w:sz w:val="20"/>
          <w:szCs w:val="20"/>
        </w:rPr>
      </w:pPr>
      <w:r w:rsidRPr="00CB6B43">
        <w:rPr>
          <w:rFonts w:ascii="Times New Roman" w:eastAsia="宋体" w:hAnsi="Times New Roman" w:cs="Times New Roman"/>
          <w:sz w:val="20"/>
          <w:szCs w:val="20"/>
        </w:rPr>
        <w:t xml:space="preserve">Research Interests: </w:t>
      </w:r>
      <w:commentRangeStart w:id="0"/>
      <w:r w:rsidR="00172EEF" w:rsidRPr="00CB6B43">
        <w:rPr>
          <w:rFonts w:ascii="Times New Roman" w:eastAsia="宋体" w:hAnsi="Times New Roman" w:cs="Times New Roman"/>
          <w:b w:val="0"/>
          <w:bCs w:val="0"/>
          <w:sz w:val="20"/>
          <w:szCs w:val="20"/>
        </w:rPr>
        <w:t>Tendency to study the interactions between gut microbiota and host immunity, adaptive microbial evolution in gastrointestinal disorders, and precision probiotic interventions for personalized health.</w:t>
      </w:r>
      <w:commentRangeEnd w:id="0"/>
      <w:r w:rsidR="00631D2F">
        <w:rPr>
          <w:rStyle w:val="af0"/>
          <w:rFonts w:ascii="Times New Roman" w:eastAsiaTheme="minorEastAsia" w:hAnsi="Times New Roman" w:cs="Times New Roman"/>
          <w:b w:val="0"/>
          <w:bCs w:val="0"/>
        </w:rPr>
        <w:commentReference w:id="0"/>
      </w:r>
    </w:p>
    <w:p w14:paraId="1219EBA3" w14:textId="77777777" w:rsidR="009C0A5E" w:rsidRPr="00CB6B43" w:rsidRDefault="009C0A5E">
      <w:pPr>
        <w:pStyle w:val="af7"/>
        <w:spacing w:beforeLines="0" w:before="0" w:line="360" w:lineRule="auto"/>
        <w:jc w:val="center"/>
        <w:rPr>
          <w:rFonts w:ascii="Times New Roman" w:eastAsia="宋体" w:hAnsi="Times New Roman" w:cs="Times New Roman"/>
          <w:sz w:val="18"/>
          <w:szCs w:val="18"/>
        </w:rPr>
      </w:pPr>
    </w:p>
    <w:p w14:paraId="48C75F28" w14:textId="77777777" w:rsidR="009C0A5E" w:rsidRPr="00CB6B43" w:rsidRDefault="00000000">
      <w:pPr>
        <w:pStyle w:val="af7"/>
        <w:spacing w:beforeLines="0" w:before="0" w:line="360" w:lineRule="auto"/>
        <w:rPr>
          <w:rFonts w:ascii="Times New Roman" w:eastAsiaTheme="majorEastAsia" w:hAnsi="Times New Roman" w:cs="Times New Roman"/>
          <w:sz w:val="24"/>
          <w:szCs w:val="24"/>
        </w:rPr>
      </w:pPr>
      <w:r w:rsidRPr="00CB6B43">
        <w:rPr>
          <w:rFonts w:ascii="Times New Roman" w:hAnsi="Times New Roman" w:cs="Times New Roman"/>
          <w:sz w:val="24"/>
          <w:szCs w:val="24"/>
        </w:rPr>
        <w:t>EDUCATION</w:t>
      </w:r>
      <w:r w:rsidRPr="00CB6B43">
        <w:rPr>
          <w:rFonts w:ascii="Times New Roman" w:hAnsi="Times New Roman" w:cs="Times New Roman"/>
          <w:sz w:val="24"/>
          <w:szCs w:val="24"/>
        </w:rPr>
        <w:tab/>
      </w:r>
      <w:r w:rsidRPr="00CB6B43">
        <w:rPr>
          <w:rFonts w:ascii="Times New Roman" w:eastAsiaTheme="majorEastAsia" w:hAnsi="Times New Roman" w:cs="Times New Roman"/>
          <w:sz w:val="24"/>
          <w:szCs w:val="24"/>
        </w:rPr>
        <w:tab/>
      </w:r>
    </w:p>
    <w:tbl>
      <w:tblPr>
        <w:tblStyle w:val="af"/>
        <w:tblW w:w="1133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24"/>
        <w:gridCol w:w="2411"/>
      </w:tblGrid>
      <w:tr w:rsidR="009C0A5E" w:rsidRPr="00CB6B43" w14:paraId="15DE0CFE" w14:textId="77777777">
        <w:tc>
          <w:tcPr>
            <w:tcW w:w="8924" w:type="dxa"/>
            <w:vAlign w:val="center"/>
          </w:tcPr>
          <w:p w14:paraId="455C1A6B" w14:textId="04EF0B89" w:rsidR="006D1815" w:rsidRPr="00CB6B43" w:rsidRDefault="006D1815">
            <w:pPr>
              <w:pStyle w:val="af9"/>
              <w:spacing w:line="360" w:lineRule="auto"/>
              <w:ind w:leftChars="-53" w:left="-117" w:rightChars="-370" w:right="-814" w:firstLineChars="0" w:firstLine="151"/>
              <w:rPr>
                <w:rFonts w:ascii="Times New Roman" w:eastAsiaTheme="minorEastAsia" w:hAnsi="Times New Roman" w:cs="Times New Roman"/>
                <w:sz w:val="20"/>
                <w:szCs w:val="20"/>
              </w:rPr>
            </w:pPr>
            <w:r w:rsidRPr="00CB6B43">
              <w:rPr>
                <w:rFonts w:ascii="Times New Roman" w:eastAsiaTheme="minorEastAsia" w:hAnsi="Times New Roman" w:cs="Times New Roman"/>
                <w:sz w:val="20"/>
                <w:szCs w:val="20"/>
              </w:rPr>
              <w:t>TECHNION, ISRAEL INSTITUTE OF TECHNOLOGY, Shantou, China (English-medium education)</w:t>
            </w:r>
          </w:p>
          <w:p w14:paraId="4F88BCCC" w14:textId="539990FD" w:rsidR="009C0A5E" w:rsidRPr="00CB6B43" w:rsidRDefault="00000000">
            <w:pPr>
              <w:pStyle w:val="af9"/>
              <w:spacing w:line="360" w:lineRule="auto"/>
              <w:ind w:leftChars="-53" w:left="-117" w:rightChars="-370" w:right="-814" w:firstLineChars="0" w:firstLine="151"/>
              <w:rPr>
                <w:rFonts w:ascii="Times New Roman" w:eastAsiaTheme="minorEastAsia" w:hAnsi="Times New Roman" w:cs="Times New Roman"/>
                <w:sz w:val="20"/>
                <w:szCs w:val="20"/>
              </w:rPr>
            </w:pPr>
            <w:r w:rsidRPr="00CB6B43">
              <w:rPr>
                <w:rFonts w:ascii="Times New Roman" w:eastAsiaTheme="minorEastAsia" w:hAnsi="Times New Roman" w:cs="Times New Roman"/>
                <w:sz w:val="20"/>
                <w:szCs w:val="20"/>
              </w:rPr>
              <w:t>Guangdong Technion Israel Institute of Technology (GTIIT)</w:t>
            </w:r>
          </w:p>
        </w:tc>
        <w:tc>
          <w:tcPr>
            <w:tcW w:w="2411" w:type="dxa"/>
            <w:vAlign w:val="center"/>
          </w:tcPr>
          <w:p w14:paraId="4BBFBDB8" w14:textId="77777777" w:rsidR="009C0A5E" w:rsidRPr="00CB6B43" w:rsidRDefault="00000000">
            <w:pPr>
              <w:pStyle w:val="afb"/>
              <w:spacing w:line="360" w:lineRule="auto"/>
              <w:ind w:right="314"/>
              <w:rPr>
                <w:rFonts w:ascii="Times New Roman" w:hAnsi="Times New Roman" w:cs="Times New Roman"/>
                <w:sz w:val="20"/>
                <w:szCs w:val="20"/>
              </w:rPr>
            </w:pPr>
            <w:r w:rsidRPr="00CB6B43">
              <w:rPr>
                <w:rFonts w:ascii="Times New Roman" w:eastAsiaTheme="minorEastAsia" w:hAnsi="Times New Roman" w:cs="Times New Roman" w:hint="eastAsia"/>
                <w:sz w:val="20"/>
                <w:szCs w:val="20"/>
              </w:rPr>
              <w:t>06/2022-07/2026</w:t>
            </w:r>
            <w:r w:rsidRPr="00CB6B43">
              <w:rPr>
                <w:rFonts w:ascii="Times New Roman" w:hAnsi="Times New Roman" w:cs="Times New Roman"/>
                <w:sz w:val="20"/>
                <w:szCs w:val="20"/>
              </w:rPr>
              <w:t xml:space="preserve"> </w:t>
            </w:r>
          </w:p>
        </w:tc>
      </w:tr>
      <w:tr w:rsidR="009C0A5E" w:rsidRPr="00CB6B43" w14:paraId="17DECAF6" w14:textId="77777777">
        <w:tc>
          <w:tcPr>
            <w:tcW w:w="11335" w:type="dxa"/>
            <w:gridSpan w:val="2"/>
            <w:vAlign w:val="center"/>
          </w:tcPr>
          <w:p w14:paraId="02A53B40" w14:textId="77777777" w:rsidR="009C0A5E" w:rsidRPr="00CB6B43" w:rsidRDefault="00000000">
            <w:pPr>
              <w:spacing w:line="360" w:lineRule="auto"/>
              <w:ind w:leftChars="-8" w:left="-18" w:rightChars="142" w:right="312" w:firstLineChars="23" w:firstLine="46"/>
              <w:rPr>
                <w:sz w:val="20"/>
                <w:szCs w:val="20"/>
              </w:rPr>
            </w:pPr>
            <w:r w:rsidRPr="00CB6B43">
              <w:rPr>
                <w:rFonts w:eastAsia="Calibri"/>
                <w:sz w:val="20"/>
                <w:szCs w:val="20"/>
              </w:rPr>
              <w:t>Bachelor</w:t>
            </w:r>
            <w:r w:rsidRPr="00CB6B43">
              <w:rPr>
                <w:rFonts w:eastAsia="Calibri" w:hint="eastAsia"/>
                <w:sz w:val="20"/>
                <w:szCs w:val="20"/>
              </w:rPr>
              <w:t xml:space="preserve"> </w:t>
            </w:r>
            <w:r w:rsidRPr="00CB6B43">
              <w:rPr>
                <w:rFonts w:eastAsia="Calibri"/>
                <w:sz w:val="20"/>
                <w:szCs w:val="20"/>
              </w:rPr>
              <w:t xml:space="preserve">of </w:t>
            </w:r>
            <w:r w:rsidRPr="00CB6B43">
              <w:rPr>
                <w:sz w:val="21"/>
                <w:szCs w:val="21"/>
              </w:rPr>
              <w:t>Science</w:t>
            </w:r>
            <w:r w:rsidRPr="00CB6B43">
              <w:rPr>
                <w:rFonts w:eastAsia="Calibri"/>
                <w:sz w:val="20"/>
                <w:szCs w:val="20"/>
              </w:rPr>
              <w:t xml:space="preserve"> in Biotechnology and Food Engineering</w:t>
            </w:r>
          </w:p>
        </w:tc>
      </w:tr>
    </w:tbl>
    <w:p w14:paraId="591D0880" w14:textId="77777777" w:rsidR="009C0A5E" w:rsidRPr="00CB6B43" w:rsidRDefault="00000000">
      <w:pPr>
        <w:pStyle w:val="af3"/>
        <w:numPr>
          <w:ilvl w:val="0"/>
          <w:numId w:val="1"/>
        </w:numPr>
        <w:spacing w:line="360" w:lineRule="auto"/>
        <w:jc w:val="both"/>
        <w:rPr>
          <w:rFonts w:eastAsia="PingFang SC"/>
          <w:sz w:val="20"/>
          <w:szCs w:val="20"/>
        </w:rPr>
      </w:pPr>
      <w:r w:rsidRPr="00CB6B43">
        <w:rPr>
          <w:rFonts w:eastAsia="PingFang SC" w:hint="eastAsia"/>
          <w:sz w:val="20"/>
          <w:szCs w:val="20"/>
        </w:rPr>
        <w:t xml:space="preserve">Average Score: </w:t>
      </w:r>
      <w:r w:rsidRPr="00CB6B43">
        <w:rPr>
          <w:rFonts w:eastAsia="宋体"/>
          <w:sz w:val="20"/>
          <w:szCs w:val="20"/>
        </w:rPr>
        <w:t>86/100</w:t>
      </w:r>
      <w:r w:rsidRPr="00CB6B43">
        <w:rPr>
          <w:rFonts w:eastAsia="宋体" w:hint="eastAsia"/>
          <w:sz w:val="20"/>
          <w:szCs w:val="20"/>
        </w:rPr>
        <w:t xml:space="preserve"> (</w:t>
      </w:r>
      <w:r w:rsidRPr="00CB6B43">
        <w:rPr>
          <w:rFonts w:eastAsia="宋体"/>
          <w:sz w:val="20"/>
          <w:szCs w:val="20"/>
        </w:rPr>
        <w:t>Rank</w:t>
      </w:r>
      <w:r w:rsidRPr="00CB6B43">
        <w:rPr>
          <w:rFonts w:eastAsia="宋体" w:hint="eastAsia"/>
          <w:sz w:val="20"/>
          <w:szCs w:val="20"/>
        </w:rPr>
        <w:t xml:space="preserve">: </w:t>
      </w:r>
      <w:r w:rsidRPr="00CB6B43">
        <w:rPr>
          <w:rFonts w:eastAsia="宋体"/>
          <w:sz w:val="20"/>
          <w:szCs w:val="20"/>
        </w:rPr>
        <w:t>6/44</w:t>
      </w:r>
      <w:r w:rsidRPr="00CB6B43">
        <w:rPr>
          <w:rFonts w:eastAsia="宋体" w:hint="eastAsia"/>
          <w:sz w:val="20"/>
          <w:szCs w:val="20"/>
        </w:rPr>
        <w:t>)</w:t>
      </w:r>
    </w:p>
    <w:p w14:paraId="49DBEBC5" w14:textId="77777777" w:rsidR="009C0A5E" w:rsidRPr="00CB6B43" w:rsidRDefault="00000000">
      <w:pPr>
        <w:pStyle w:val="BulletPoint"/>
        <w:spacing w:line="360" w:lineRule="auto"/>
        <w:jc w:val="both"/>
        <w:rPr>
          <w:rFonts w:cs="Times New Roman"/>
          <w:sz w:val="20"/>
          <w:szCs w:val="20"/>
        </w:rPr>
      </w:pPr>
      <w:r w:rsidRPr="00CB6B43">
        <w:rPr>
          <w:rFonts w:cs="Times New Roman"/>
          <w:sz w:val="20"/>
          <w:szCs w:val="20"/>
        </w:rPr>
        <w:t>Modules:</w:t>
      </w:r>
      <w:r w:rsidRPr="00CB6B43">
        <w:rPr>
          <w:rFonts w:cs="Times New Roman" w:hint="eastAsia"/>
          <w:sz w:val="20"/>
          <w:szCs w:val="20"/>
        </w:rPr>
        <w:t xml:space="preserve"> </w:t>
      </w:r>
      <w:r w:rsidRPr="00CB6B43">
        <w:rPr>
          <w:rFonts w:cs="Times New Roman"/>
          <w:sz w:val="20"/>
          <w:szCs w:val="20"/>
        </w:rPr>
        <w:t>Basic Immunology, Microbiome, Microbiology, Organic Chemistry, Biology, Metabolic Pathways, Molecular Biotechnology, Physical Chemistry, Calculus</w:t>
      </w:r>
      <w:r w:rsidRPr="00CB6B43">
        <w:rPr>
          <w:rFonts w:cs="Times New Roman" w:hint="eastAsia"/>
          <w:sz w:val="20"/>
          <w:szCs w:val="20"/>
        </w:rPr>
        <w:t xml:space="preserve">, </w:t>
      </w:r>
      <w:r w:rsidRPr="00CB6B43">
        <w:rPr>
          <w:rFonts w:cs="Times New Roman"/>
          <w:sz w:val="20"/>
          <w:szCs w:val="20"/>
        </w:rPr>
        <w:t>Medical diagnostics</w:t>
      </w:r>
    </w:p>
    <w:p w14:paraId="5F2B4B35" w14:textId="77777777" w:rsidR="009C0A5E" w:rsidRPr="00CB6B43" w:rsidRDefault="00000000">
      <w:pPr>
        <w:spacing w:line="360" w:lineRule="auto"/>
        <w:rPr>
          <w:b/>
          <w:bCs/>
          <w:sz w:val="24"/>
          <w:szCs w:val="24"/>
        </w:rPr>
      </w:pPr>
      <w:r w:rsidRPr="00CB6B43">
        <w:rPr>
          <w:b/>
          <w:bCs/>
          <w:sz w:val="24"/>
          <w:szCs w:val="24"/>
        </w:rPr>
        <w:t>HONOURS</w:t>
      </w:r>
    </w:p>
    <w:tbl>
      <w:tblPr>
        <w:tblStyle w:val="af"/>
        <w:tblW w:w="10766" w:type="dxa"/>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65"/>
        <w:gridCol w:w="1701"/>
      </w:tblGrid>
      <w:tr w:rsidR="009C0A5E" w:rsidRPr="00CB6B43" w14:paraId="47ADC7C6" w14:textId="77777777">
        <w:tc>
          <w:tcPr>
            <w:tcW w:w="9065" w:type="dxa"/>
            <w:vAlign w:val="bottom"/>
          </w:tcPr>
          <w:p w14:paraId="1AF11A81" w14:textId="77777777" w:rsidR="009C0A5E" w:rsidRPr="00CB6B43" w:rsidRDefault="00000000">
            <w:pPr>
              <w:pStyle w:val="af3"/>
              <w:widowControl w:val="0"/>
              <w:numPr>
                <w:ilvl w:val="0"/>
                <w:numId w:val="1"/>
              </w:numPr>
              <w:autoSpaceDE w:val="0"/>
              <w:autoSpaceDN w:val="0"/>
              <w:adjustRightInd w:val="0"/>
              <w:spacing w:line="360" w:lineRule="auto"/>
              <w:ind w:left="597"/>
              <w:rPr>
                <w:rFonts w:eastAsia="宋体"/>
                <w:bCs/>
                <w:sz w:val="20"/>
                <w:szCs w:val="20"/>
              </w:rPr>
            </w:pPr>
            <w:r w:rsidRPr="00CB6B43">
              <w:rPr>
                <w:rFonts w:eastAsia="宋体"/>
                <w:bCs/>
                <w:sz w:val="20"/>
                <w:szCs w:val="20"/>
              </w:rPr>
              <w:t>Outstanding student cadre</w:t>
            </w:r>
            <w:r w:rsidRPr="00CB6B43">
              <w:rPr>
                <w:rFonts w:eastAsia="宋体" w:hint="eastAsia"/>
                <w:bCs/>
                <w:sz w:val="20"/>
                <w:szCs w:val="20"/>
              </w:rPr>
              <w:t xml:space="preserve"> </w:t>
            </w:r>
          </w:p>
        </w:tc>
        <w:tc>
          <w:tcPr>
            <w:tcW w:w="1701" w:type="dxa"/>
            <w:vAlign w:val="bottom"/>
          </w:tcPr>
          <w:p w14:paraId="2E929012" w14:textId="77777777" w:rsidR="009C0A5E" w:rsidRPr="00CB6B43" w:rsidRDefault="00000000">
            <w:pPr>
              <w:spacing w:line="360" w:lineRule="auto"/>
              <w:ind w:rightChars="-50" w:right="-110"/>
              <w:jc w:val="right"/>
              <w:rPr>
                <w:b/>
                <w:bCs/>
                <w:sz w:val="20"/>
                <w:szCs w:val="20"/>
              </w:rPr>
            </w:pPr>
            <w:r w:rsidRPr="00CB6B43">
              <w:rPr>
                <w:b/>
                <w:bCs/>
                <w:sz w:val="20"/>
                <w:szCs w:val="20"/>
              </w:rPr>
              <w:t>2022-202</w:t>
            </w:r>
            <w:r w:rsidRPr="00CB6B43">
              <w:rPr>
                <w:rFonts w:hint="eastAsia"/>
                <w:b/>
                <w:bCs/>
                <w:sz w:val="20"/>
                <w:szCs w:val="20"/>
              </w:rPr>
              <w:t>5</w:t>
            </w:r>
          </w:p>
        </w:tc>
      </w:tr>
      <w:tr w:rsidR="009C0A5E" w:rsidRPr="00CB6B43" w14:paraId="35B729E2" w14:textId="77777777">
        <w:tc>
          <w:tcPr>
            <w:tcW w:w="9065" w:type="dxa"/>
            <w:vAlign w:val="bottom"/>
          </w:tcPr>
          <w:p w14:paraId="70D5CA79" w14:textId="77777777" w:rsidR="009C0A5E" w:rsidRPr="00CB6B43" w:rsidRDefault="00000000">
            <w:pPr>
              <w:pStyle w:val="af3"/>
              <w:widowControl w:val="0"/>
              <w:numPr>
                <w:ilvl w:val="0"/>
                <w:numId w:val="1"/>
              </w:numPr>
              <w:autoSpaceDE w:val="0"/>
              <w:autoSpaceDN w:val="0"/>
              <w:adjustRightInd w:val="0"/>
              <w:spacing w:line="360" w:lineRule="auto"/>
              <w:ind w:left="597"/>
              <w:rPr>
                <w:rFonts w:eastAsia="宋体"/>
                <w:bCs/>
                <w:sz w:val="20"/>
                <w:szCs w:val="20"/>
              </w:rPr>
            </w:pPr>
            <w:r w:rsidRPr="00CB6B43">
              <w:rPr>
                <w:rFonts w:eastAsia="宋体"/>
                <w:bCs/>
                <w:sz w:val="20"/>
                <w:szCs w:val="20"/>
              </w:rPr>
              <w:t>Program Head’s list (top 16%)</w:t>
            </w:r>
          </w:p>
        </w:tc>
        <w:tc>
          <w:tcPr>
            <w:tcW w:w="1701" w:type="dxa"/>
            <w:vAlign w:val="bottom"/>
          </w:tcPr>
          <w:p w14:paraId="54C5721A" w14:textId="77777777" w:rsidR="009C0A5E" w:rsidRPr="00CB6B43" w:rsidRDefault="00000000">
            <w:pPr>
              <w:spacing w:line="360" w:lineRule="auto"/>
              <w:ind w:rightChars="-50" w:right="-110"/>
              <w:jc w:val="right"/>
              <w:rPr>
                <w:b/>
                <w:bCs/>
                <w:sz w:val="20"/>
                <w:szCs w:val="20"/>
              </w:rPr>
            </w:pPr>
            <w:r w:rsidRPr="00CB6B43">
              <w:rPr>
                <w:b/>
                <w:bCs/>
                <w:sz w:val="20"/>
                <w:szCs w:val="20"/>
              </w:rPr>
              <w:t>2022-2023</w:t>
            </w:r>
          </w:p>
        </w:tc>
      </w:tr>
    </w:tbl>
    <w:p w14:paraId="14F0B32B" w14:textId="77777777" w:rsidR="009C0A5E" w:rsidRPr="00CB6B43" w:rsidRDefault="00000000">
      <w:pPr>
        <w:spacing w:line="360" w:lineRule="auto"/>
        <w:rPr>
          <w:b/>
          <w:bCs/>
          <w:sz w:val="24"/>
          <w:szCs w:val="24"/>
        </w:rPr>
      </w:pPr>
      <w:r w:rsidRPr="00CB6B43">
        <w:rPr>
          <w:rFonts w:eastAsia="Calibri"/>
          <w:b/>
          <w:bCs/>
          <w:sz w:val="24"/>
          <w:szCs w:val="24"/>
        </w:rPr>
        <w:t>PUBLICATION</w:t>
      </w:r>
    </w:p>
    <w:p w14:paraId="717C4379" w14:textId="77777777" w:rsidR="009C0A5E" w:rsidRPr="00CB6B43" w:rsidRDefault="00000000">
      <w:pPr>
        <w:pStyle w:val="af3"/>
        <w:widowControl w:val="0"/>
        <w:autoSpaceDE w:val="0"/>
        <w:autoSpaceDN w:val="0"/>
        <w:adjustRightInd w:val="0"/>
        <w:spacing w:line="360" w:lineRule="auto"/>
        <w:ind w:left="0"/>
        <w:jc w:val="both"/>
        <w:rPr>
          <w:rFonts w:eastAsia="PingFang SC"/>
          <w:sz w:val="20"/>
          <w:szCs w:val="20"/>
        </w:rPr>
      </w:pPr>
      <w:r w:rsidRPr="00CB6B43">
        <w:rPr>
          <w:rFonts w:hint="eastAsia"/>
          <w:b/>
          <w:bCs/>
          <w:sz w:val="20"/>
          <w:szCs w:val="20"/>
        </w:rPr>
        <w:t xml:space="preserve">Yaqi Zhu </w:t>
      </w:r>
      <w:r w:rsidRPr="00CB6B43">
        <w:rPr>
          <w:rFonts w:hint="eastAsia"/>
          <w:sz w:val="20"/>
          <w:szCs w:val="20"/>
        </w:rPr>
        <w:t>(</w:t>
      </w:r>
      <w:r w:rsidRPr="00CB6B43">
        <w:rPr>
          <w:sz w:val="20"/>
          <w:szCs w:val="20"/>
        </w:rPr>
        <w:t>Under Review</w:t>
      </w:r>
      <w:r w:rsidRPr="00CB6B43">
        <w:rPr>
          <w:rFonts w:hint="eastAsia"/>
          <w:sz w:val="20"/>
          <w:szCs w:val="20"/>
        </w:rPr>
        <w:t xml:space="preserve">), </w:t>
      </w:r>
      <w:r w:rsidRPr="00CB6B43">
        <w:rPr>
          <w:sz w:val="20"/>
          <w:szCs w:val="20"/>
        </w:rPr>
        <w:t>Biogenic Seashell Powders as Effective Adsorbents for Cadmium Removal from Aqueous Solutions.</w:t>
      </w:r>
      <w:r w:rsidRPr="00CB6B43">
        <w:rPr>
          <w:rFonts w:hint="eastAsia"/>
          <w:sz w:val="20"/>
          <w:szCs w:val="20"/>
        </w:rPr>
        <w:t xml:space="preserve"> </w:t>
      </w:r>
    </w:p>
    <w:p w14:paraId="1BF95D0D" w14:textId="11502F3F" w:rsidR="009C0A5E" w:rsidRPr="00CB6B43" w:rsidRDefault="00000000">
      <w:pPr>
        <w:pStyle w:val="af3"/>
        <w:widowControl w:val="0"/>
        <w:numPr>
          <w:ilvl w:val="0"/>
          <w:numId w:val="1"/>
        </w:numPr>
        <w:autoSpaceDE w:val="0"/>
        <w:autoSpaceDN w:val="0"/>
        <w:adjustRightInd w:val="0"/>
        <w:spacing w:line="360" w:lineRule="auto"/>
        <w:jc w:val="both"/>
        <w:rPr>
          <w:sz w:val="20"/>
          <w:szCs w:val="20"/>
        </w:rPr>
      </w:pPr>
      <w:r w:rsidRPr="00CB6B43">
        <w:rPr>
          <w:sz w:val="20"/>
          <w:szCs w:val="20"/>
        </w:rPr>
        <w:t xml:space="preserve">Led an investigation into the adsorption efficacy of biogenic seashell powders from scallops, oysters, and mussels for removing cadmium ions (Cd²⁺) from water, employing advanced techniques like ICP-OES, XRD, FTIR, and FIB-EDS to clarify adsorption mechanisms. </w:t>
      </w:r>
    </w:p>
    <w:p w14:paraId="6C4D33A3" w14:textId="77777777" w:rsidR="009C0A5E" w:rsidRPr="00CB6B43" w:rsidRDefault="00000000">
      <w:pPr>
        <w:pStyle w:val="af3"/>
        <w:widowControl w:val="0"/>
        <w:numPr>
          <w:ilvl w:val="0"/>
          <w:numId w:val="1"/>
        </w:numPr>
        <w:autoSpaceDE w:val="0"/>
        <w:autoSpaceDN w:val="0"/>
        <w:adjustRightInd w:val="0"/>
        <w:spacing w:line="360" w:lineRule="auto"/>
        <w:jc w:val="both"/>
        <w:rPr>
          <w:sz w:val="20"/>
          <w:szCs w:val="20"/>
        </w:rPr>
      </w:pPr>
      <w:r w:rsidRPr="00CB6B43">
        <w:rPr>
          <w:sz w:val="20"/>
          <w:szCs w:val="20"/>
        </w:rPr>
        <w:t xml:space="preserve">Demonstrated cadmium removal rates exceeding 96% for all shell types, with mussel powder achieving an impressive 99.9% efficiency, highlighting its potential as a strong adsorbent. </w:t>
      </w:r>
    </w:p>
    <w:p w14:paraId="26792F00" w14:textId="77777777" w:rsidR="009C0A5E" w:rsidRPr="00CB6B43" w:rsidRDefault="00000000">
      <w:pPr>
        <w:pStyle w:val="af3"/>
        <w:widowControl w:val="0"/>
        <w:numPr>
          <w:ilvl w:val="0"/>
          <w:numId w:val="1"/>
        </w:numPr>
        <w:autoSpaceDE w:val="0"/>
        <w:autoSpaceDN w:val="0"/>
        <w:adjustRightInd w:val="0"/>
        <w:spacing w:line="360" w:lineRule="auto"/>
        <w:jc w:val="both"/>
        <w:rPr>
          <w:sz w:val="20"/>
          <w:szCs w:val="20"/>
        </w:rPr>
      </w:pPr>
      <w:r w:rsidRPr="00CB6B43">
        <w:rPr>
          <w:sz w:val="20"/>
          <w:szCs w:val="20"/>
        </w:rPr>
        <w:t>Analy</w:t>
      </w:r>
      <w:r w:rsidRPr="00CB6B43">
        <w:rPr>
          <w:rFonts w:hint="eastAsia"/>
          <w:sz w:val="20"/>
          <w:szCs w:val="20"/>
        </w:rPr>
        <w:t>s</w:t>
      </w:r>
      <w:r w:rsidRPr="00CB6B43">
        <w:rPr>
          <w:sz w:val="20"/>
          <w:szCs w:val="20"/>
        </w:rPr>
        <w:t>ed the adsorption process, identified key mechanisms such as ion exchange, complexation, and micro sedimentation, and highlighted the positive role of microbial communities in metal fixation, supporting sustainable heavy metal remediation in contaminated waters.</w:t>
      </w:r>
    </w:p>
    <w:p w14:paraId="398BE3E4" w14:textId="77777777" w:rsidR="009C0A5E" w:rsidRPr="00CB6B43" w:rsidRDefault="00000000">
      <w:pPr>
        <w:widowControl w:val="0"/>
        <w:autoSpaceDE w:val="0"/>
        <w:autoSpaceDN w:val="0"/>
        <w:adjustRightInd w:val="0"/>
        <w:spacing w:line="360" w:lineRule="auto"/>
        <w:jc w:val="both"/>
        <w:rPr>
          <w:sz w:val="20"/>
          <w:szCs w:val="20"/>
        </w:rPr>
      </w:pPr>
      <w:r w:rsidRPr="00CB6B43">
        <w:rPr>
          <w:rFonts w:hint="eastAsia"/>
          <w:b/>
          <w:bCs/>
          <w:sz w:val="20"/>
          <w:szCs w:val="20"/>
        </w:rPr>
        <w:t xml:space="preserve">Yaqi Zhu </w:t>
      </w:r>
      <w:r w:rsidRPr="00CB6B43">
        <w:rPr>
          <w:sz w:val="20"/>
          <w:szCs w:val="20"/>
        </w:rPr>
        <w:t>(202</w:t>
      </w:r>
      <w:r w:rsidRPr="00CB6B43">
        <w:rPr>
          <w:rFonts w:hint="eastAsia"/>
          <w:sz w:val="20"/>
          <w:szCs w:val="20"/>
        </w:rPr>
        <w:t>4</w:t>
      </w:r>
      <w:r w:rsidRPr="00CB6B43">
        <w:rPr>
          <w:sz w:val="20"/>
          <w:szCs w:val="20"/>
        </w:rPr>
        <w:t>)</w:t>
      </w:r>
      <w:r w:rsidRPr="00CB6B43">
        <w:rPr>
          <w:rFonts w:hint="eastAsia"/>
          <w:sz w:val="20"/>
          <w:szCs w:val="20"/>
        </w:rPr>
        <w:t xml:space="preserve">, </w:t>
      </w:r>
      <w:r w:rsidRPr="00CB6B43">
        <w:rPr>
          <w:sz w:val="20"/>
          <w:szCs w:val="20"/>
        </w:rPr>
        <w:t xml:space="preserve">Synergistic mechanisms of humic acid and biomineralization in cadmium remediation using </w:t>
      </w:r>
      <w:proofErr w:type="spellStart"/>
      <w:r w:rsidRPr="00CB6B43">
        <w:rPr>
          <w:sz w:val="20"/>
          <w:szCs w:val="20"/>
        </w:rPr>
        <w:t>Lysinibacillus</w:t>
      </w:r>
      <w:proofErr w:type="spellEnd"/>
      <w:r w:rsidRPr="00CB6B43">
        <w:rPr>
          <w:sz w:val="20"/>
          <w:szCs w:val="20"/>
        </w:rPr>
        <w:t xml:space="preserve"> fusiformis</w:t>
      </w:r>
      <w:r w:rsidRPr="00CB6B43">
        <w:rPr>
          <w:rFonts w:hint="eastAsia"/>
          <w:sz w:val="20"/>
          <w:szCs w:val="20"/>
        </w:rPr>
        <w:t xml:space="preserve">. </w:t>
      </w:r>
      <w:r w:rsidRPr="00CB6B43">
        <w:rPr>
          <w:i/>
          <w:iCs/>
          <w:sz w:val="20"/>
          <w:szCs w:val="20"/>
        </w:rPr>
        <w:t>Environmental Microbiology Reports.</w:t>
      </w:r>
    </w:p>
    <w:p w14:paraId="08D6202E" w14:textId="4296D340" w:rsidR="009C0A5E" w:rsidRPr="00CB6B43" w:rsidRDefault="00000000">
      <w:pPr>
        <w:pStyle w:val="af3"/>
        <w:widowControl w:val="0"/>
        <w:numPr>
          <w:ilvl w:val="0"/>
          <w:numId w:val="1"/>
        </w:numPr>
        <w:autoSpaceDE w:val="0"/>
        <w:autoSpaceDN w:val="0"/>
        <w:adjustRightInd w:val="0"/>
        <w:spacing w:line="360" w:lineRule="auto"/>
        <w:jc w:val="both"/>
        <w:rPr>
          <w:rFonts w:eastAsia="PingFang SC"/>
          <w:sz w:val="20"/>
          <w:szCs w:val="20"/>
        </w:rPr>
      </w:pPr>
      <w:r w:rsidRPr="00CB6B43">
        <w:rPr>
          <w:rFonts w:eastAsia="PingFang SC"/>
          <w:sz w:val="20"/>
          <w:szCs w:val="20"/>
        </w:rPr>
        <w:t xml:space="preserve">Investigated the synergistic effects of humic acid and microbial-induced carbonate precipitation (MICP) for cadmium remediation using </w:t>
      </w:r>
      <w:proofErr w:type="spellStart"/>
      <w:r w:rsidRPr="00CB6B43">
        <w:rPr>
          <w:rFonts w:eastAsia="PingFang SC"/>
          <w:sz w:val="20"/>
          <w:szCs w:val="20"/>
        </w:rPr>
        <w:t>Lysinibacillus</w:t>
      </w:r>
      <w:proofErr w:type="spellEnd"/>
      <w:r w:rsidRPr="00CB6B43">
        <w:rPr>
          <w:rFonts w:eastAsia="PingFang SC"/>
          <w:sz w:val="20"/>
          <w:szCs w:val="20"/>
        </w:rPr>
        <w:t xml:space="preserve"> fusiformis to promote carbonate formation in contaminated soil.</w:t>
      </w:r>
    </w:p>
    <w:p w14:paraId="68F72D96" w14:textId="77777777" w:rsidR="009C0A5E" w:rsidRPr="00CB6B43" w:rsidRDefault="00000000">
      <w:pPr>
        <w:pStyle w:val="af3"/>
        <w:widowControl w:val="0"/>
        <w:numPr>
          <w:ilvl w:val="0"/>
          <w:numId w:val="1"/>
        </w:numPr>
        <w:autoSpaceDE w:val="0"/>
        <w:autoSpaceDN w:val="0"/>
        <w:adjustRightInd w:val="0"/>
        <w:spacing w:line="360" w:lineRule="auto"/>
        <w:jc w:val="both"/>
        <w:rPr>
          <w:rFonts w:eastAsia="PingFang SC"/>
          <w:sz w:val="20"/>
          <w:szCs w:val="20"/>
        </w:rPr>
      </w:pPr>
      <w:r w:rsidRPr="00CB6B43">
        <w:rPr>
          <w:rFonts w:eastAsia="PingFang SC"/>
          <w:sz w:val="20"/>
          <w:szCs w:val="20"/>
        </w:rPr>
        <w:t>Conducted experiments with varying humic acid concentrations to assess their impact on remediation, revealing that high levels significantly inhibited urease activity, crucial for MICP.</w:t>
      </w:r>
    </w:p>
    <w:p w14:paraId="75CD0DFB" w14:textId="77777777" w:rsidR="009C0A5E" w:rsidRPr="00CB6B43" w:rsidRDefault="00000000">
      <w:pPr>
        <w:pStyle w:val="af3"/>
        <w:widowControl w:val="0"/>
        <w:numPr>
          <w:ilvl w:val="0"/>
          <w:numId w:val="1"/>
        </w:numPr>
        <w:autoSpaceDE w:val="0"/>
        <w:autoSpaceDN w:val="0"/>
        <w:adjustRightInd w:val="0"/>
        <w:spacing w:line="360" w:lineRule="auto"/>
        <w:jc w:val="both"/>
        <w:rPr>
          <w:rFonts w:eastAsia="PingFang SC"/>
          <w:sz w:val="20"/>
          <w:szCs w:val="20"/>
        </w:rPr>
      </w:pPr>
      <w:r w:rsidRPr="00CB6B43">
        <w:rPr>
          <w:rFonts w:eastAsia="PingFang SC"/>
          <w:sz w:val="20"/>
          <w:szCs w:val="20"/>
        </w:rPr>
        <w:t>Found that while humic acid effectively adsorbed metal ions, increasing organically bound cadmium, it simultaneously reduced MICP efficacy, emphasizing the need to balance humic acid levels and microbial activity in bioremediation approaches.</w:t>
      </w:r>
    </w:p>
    <w:p w14:paraId="4E8AD10D" w14:textId="17D35311" w:rsidR="009C0A5E" w:rsidRPr="00631D2F" w:rsidRDefault="00000000" w:rsidP="00631D2F">
      <w:pPr>
        <w:spacing w:line="360" w:lineRule="auto"/>
        <w:rPr>
          <w:rFonts w:hint="eastAsia"/>
          <w:b/>
          <w:bCs/>
          <w:sz w:val="24"/>
          <w:szCs w:val="24"/>
        </w:rPr>
      </w:pPr>
      <w:r w:rsidRPr="00CB6B43">
        <w:rPr>
          <w:rFonts w:hint="eastAsia"/>
          <w:b/>
          <w:bCs/>
          <w:sz w:val="24"/>
          <w:szCs w:val="24"/>
        </w:rPr>
        <w:t>INTERNSHIP</w:t>
      </w:r>
      <w:r w:rsidRPr="00CB6B43">
        <w:rPr>
          <w:rFonts w:eastAsia="Calibri"/>
          <w:b/>
          <w:bCs/>
          <w:sz w:val="24"/>
          <w:szCs w:val="24"/>
        </w:rPr>
        <w:t xml:space="preserve"> EXPERIENCE</w:t>
      </w:r>
      <w:r w:rsidRPr="00CB6B43">
        <w:rPr>
          <w:rFonts w:eastAsia="Calibri"/>
          <w:b/>
          <w:bCs/>
          <w:sz w:val="24"/>
          <w:szCs w:val="24"/>
        </w:rPr>
        <w:tab/>
      </w:r>
    </w:p>
    <w:tbl>
      <w:tblPr>
        <w:tblStyle w:val="af"/>
        <w:tblW w:w="1133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25"/>
        <w:gridCol w:w="2410"/>
      </w:tblGrid>
      <w:tr w:rsidR="009C0A5E" w:rsidRPr="00CB6B43" w14:paraId="3F979CFB" w14:textId="77777777">
        <w:tc>
          <w:tcPr>
            <w:tcW w:w="8925" w:type="dxa"/>
            <w:vAlign w:val="center"/>
          </w:tcPr>
          <w:p w14:paraId="6A65AEDD" w14:textId="77777777" w:rsidR="009C0A5E" w:rsidRPr="00CB6B43" w:rsidRDefault="00000000">
            <w:pPr>
              <w:pStyle w:val="af9"/>
              <w:spacing w:line="360" w:lineRule="auto"/>
              <w:ind w:leftChars="-53" w:left="-117" w:rightChars="-370" w:right="-814" w:firstLineChars="71" w:firstLine="143"/>
              <w:rPr>
                <w:rFonts w:ascii="Times New Roman" w:hAnsi="Times New Roman" w:cs="Times New Roman"/>
                <w:sz w:val="20"/>
                <w:szCs w:val="20"/>
              </w:rPr>
            </w:pPr>
            <w:r w:rsidRPr="00CB6B43">
              <w:rPr>
                <w:rFonts w:ascii="Times New Roman" w:hAnsi="Times New Roman" w:cs="Times New Roman"/>
                <w:sz w:val="20"/>
                <w:szCs w:val="20"/>
              </w:rPr>
              <w:t>Environmental science and engineering Laboratory, Technion (China)</w:t>
            </w:r>
            <w:r w:rsidRPr="00CB6B43">
              <w:rPr>
                <w:rFonts w:ascii="Times New Roman" w:hAnsi="Times New Roman" w:cs="Times New Roman"/>
                <w:sz w:val="20"/>
                <w:szCs w:val="20"/>
              </w:rPr>
              <w:tab/>
              <w:t xml:space="preserve">  </w:t>
            </w:r>
          </w:p>
        </w:tc>
        <w:tc>
          <w:tcPr>
            <w:tcW w:w="2410" w:type="dxa"/>
            <w:vAlign w:val="center"/>
          </w:tcPr>
          <w:p w14:paraId="59F24D98" w14:textId="77777777" w:rsidR="009C0A5E" w:rsidRPr="00CB6B43" w:rsidRDefault="00000000">
            <w:pPr>
              <w:pStyle w:val="afb"/>
              <w:wordWrap w:val="0"/>
              <w:spacing w:line="360" w:lineRule="auto"/>
              <w:ind w:right="305"/>
              <w:rPr>
                <w:rFonts w:ascii="Times New Roman" w:hAnsi="Times New Roman" w:cs="Times New Roman"/>
                <w:sz w:val="20"/>
                <w:szCs w:val="20"/>
              </w:rPr>
            </w:pPr>
            <w:r w:rsidRPr="00CB6B43">
              <w:rPr>
                <w:rFonts w:ascii="Times New Roman" w:eastAsia="宋体" w:hAnsi="Times New Roman" w:cs="Times New Roman" w:hint="eastAsia"/>
                <w:sz w:val="20"/>
                <w:szCs w:val="20"/>
              </w:rPr>
              <w:t>Guangdong</w:t>
            </w:r>
            <w:r w:rsidRPr="00CB6B43">
              <w:rPr>
                <w:rFonts w:ascii="Times New Roman" w:eastAsiaTheme="minorEastAsia" w:hAnsi="Times New Roman" w:cs="Times New Roman" w:hint="eastAsia"/>
                <w:sz w:val="20"/>
                <w:szCs w:val="20"/>
              </w:rPr>
              <w:t>, China</w:t>
            </w:r>
          </w:p>
        </w:tc>
      </w:tr>
      <w:tr w:rsidR="009C0A5E" w:rsidRPr="00CB6B43" w14:paraId="337C2DCD" w14:textId="77777777">
        <w:tc>
          <w:tcPr>
            <w:tcW w:w="8925" w:type="dxa"/>
            <w:vAlign w:val="center"/>
          </w:tcPr>
          <w:p w14:paraId="366E1E14" w14:textId="77777777" w:rsidR="009C0A5E" w:rsidRPr="00CB6B43" w:rsidRDefault="00000000">
            <w:pPr>
              <w:pStyle w:val="af9"/>
              <w:spacing w:line="360" w:lineRule="auto"/>
              <w:ind w:leftChars="-53" w:left="-117" w:rightChars="-370" w:right="-814" w:firstLineChars="71" w:firstLine="128"/>
              <w:rPr>
                <w:rFonts w:ascii="Times New Roman" w:hAnsi="Times New Roman" w:cs="Times New Roman"/>
                <w:sz w:val="20"/>
                <w:szCs w:val="20"/>
              </w:rPr>
            </w:pPr>
            <w:r w:rsidRPr="00CB6B43">
              <w:rPr>
                <w:rFonts w:ascii="Times New Roman" w:eastAsia="宋体" w:hAnsi="Times New Roman" w:cs="Times New Roman" w:hint="eastAsia"/>
                <w:bCs w:val="0"/>
                <w:sz w:val="18"/>
                <w:szCs w:val="21"/>
              </w:rPr>
              <w:t xml:space="preserve">Student </w:t>
            </w:r>
            <w:r w:rsidRPr="00CB6B43">
              <w:rPr>
                <w:rFonts w:ascii="Times New Roman" w:eastAsia="宋体" w:hAnsi="Times New Roman" w:cs="Times New Roman"/>
                <w:bCs w:val="0"/>
                <w:sz w:val="18"/>
                <w:szCs w:val="21"/>
              </w:rPr>
              <w:t>Assistant</w:t>
            </w:r>
          </w:p>
        </w:tc>
        <w:tc>
          <w:tcPr>
            <w:tcW w:w="2410" w:type="dxa"/>
            <w:vAlign w:val="center"/>
          </w:tcPr>
          <w:p w14:paraId="3984B763" w14:textId="77777777" w:rsidR="009C0A5E" w:rsidRPr="00CB6B43" w:rsidRDefault="00000000">
            <w:pPr>
              <w:pStyle w:val="afb"/>
              <w:spacing w:line="360" w:lineRule="auto"/>
              <w:ind w:right="305"/>
              <w:rPr>
                <w:rFonts w:ascii="Times New Roman" w:hAnsi="Times New Roman" w:cs="Times New Roman"/>
                <w:sz w:val="20"/>
                <w:szCs w:val="20"/>
              </w:rPr>
            </w:pPr>
            <w:r w:rsidRPr="00CB6B43">
              <w:rPr>
                <w:rFonts w:ascii="Times New Roman" w:eastAsiaTheme="minorEastAsia" w:hAnsi="Times New Roman" w:cs="Times New Roman" w:hint="eastAsia"/>
                <w:sz w:val="20"/>
                <w:szCs w:val="20"/>
              </w:rPr>
              <w:t>11/2023-present</w:t>
            </w:r>
          </w:p>
        </w:tc>
      </w:tr>
    </w:tbl>
    <w:p w14:paraId="712DC43F" w14:textId="77777777" w:rsidR="009C0A5E" w:rsidRPr="00CB6B43" w:rsidRDefault="00000000">
      <w:pPr>
        <w:widowControl w:val="0"/>
        <w:autoSpaceDE w:val="0"/>
        <w:autoSpaceDN w:val="0"/>
        <w:adjustRightInd w:val="0"/>
        <w:spacing w:line="360" w:lineRule="auto"/>
        <w:jc w:val="both"/>
        <w:rPr>
          <w:rFonts w:eastAsia="PingFang SC"/>
          <w:sz w:val="20"/>
          <w:szCs w:val="20"/>
        </w:rPr>
      </w:pPr>
      <w:r w:rsidRPr="00CB6B43">
        <w:rPr>
          <w:rFonts w:eastAsia="PingFang SC"/>
          <w:sz w:val="20"/>
          <w:szCs w:val="20"/>
        </w:rPr>
        <w:t>Immobilization of Water Cadmium by Scallops’ Powder and Microbiology</w:t>
      </w:r>
      <w:r w:rsidRPr="00CB6B43">
        <w:rPr>
          <w:rFonts w:eastAsia="PingFang SC" w:hint="eastAsia"/>
          <w:sz w:val="20"/>
          <w:szCs w:val="20"/>
        </w:rPr>
        <w:t xml:space="preserve">: </w:t>
      </w:r>
    </w:p>
    <w:p w14:paraId="2C019E29" w14:textId="77777777" w:rsidR="009C0A5E" w:rsidRPr="00CB6B43" w:rsidRDefault="00000000">
      <w:pPr>
        <w:pStyle w:val="af3"/>
        <w:widowControl w:val="0"/>
        <w:numPr>
          <w:ilvl w:val="0"/>
          <w:numId w:val="1"/>
        </w:numPr>
        <w:autoSpaceDE w:val="0"/>
        <w:autoSpaceDN w:val="0"/>
        <w:adjustRightInd w:val="0"/>
        <w:spacing w:line="360" w:lineRule="auto"/>
        <w:jc w:val="both"/>
        <w:rPr>
          <w:rFonts w:eastAsia="PingFang SC"/>
          <w:sz w:val="20"/>
          <w:szCs w:val="20"/>
        </w:rPr>
      </w:pPr>
      <w:r w:rsidRPr="00CB6B43">
        <w:rPr>
          <w:rFonts w:eastAsia="PingFang SC"/>
          <w:sz w:val="20"/>
          <w:szCs w:val="20"/>
        </w:rPr>
        <w:t>Designed and executed experiments focused on cadmium immobilization using scallop powder.</w:t>
      </w:r>
    </w:p>
    <w:p w14:paraId="4B5E3BF6" w14:textId="77777777" w:rsidR="009C0A5E" w:rsidRPr="00CB6B43" w:rsidRDefault="00000000">
      <w:pPr>
        <w:pStyle w:val="af3"/>
        <w:widowControl w:val="0"/>
        <w:numPr>
          <w:ilvl w:val="0"/>
          <w:numId w:val="1"/>
        </w:numPr>
        <w:autoSpaceDE w:val="0"/>
        <w:autoSpaceDN w:val="0"/>
        <w:adjustRightInd w:val="0"/>
        <w:spacing w:line="360" w:lineRule="auto"/>
        <w:jc w:val="both"/>
        <w:rPr>
          <w:rFonts w:eastAsia="PingFang SC"/>
          <w:sz w:val="20"/>
          <w:szCs w:val="20"/>
        </w:rPr>
      </w:pPr>
      <w:r w:rsidRPr="00CB6B43">
        <w:rPr>
          <w:rFonts w:eastAsia="PingFang SC"/>
          <w:sz w:val="20"/>
          <w:szCs w:val="20"/>
        </w:rPr>
        <w:t>Performed tasks including experimental design, sample preparation, and data analysis.</w:t>
      </w:r>
    </w:p>
    <w:p w14:paraId="6943A930" w14:textId="77777777" w:rsidR="009C0A5E" w:rsidRPr="00CB6B43" w:rsidRDefault="00000000">
      <w:pPr>
        <w:widowControl w:val="0"/>
        <w:autoSpaceDE w:val="0"/>
        <w:autoSpaceDN w:val="0"/>
        <w:adjustRightInd w:val="0"/>
        <w:spacing w:line="360" w:lineRule="auto"/>
        <w:jc w:val="both"/>
        <w:rPr>
          <w:rFonts w:eastAsia="PingFang SC"/>
          <w:sz w:val="20"/>
          <w:szCs w:val="20"/>
        </w:rPr>
      </w:pPr>
      <w:r w:rsidRPr="00CB6B43">
        <w:rPr>
          <w:rFonts w:eastAsia="PingFang SC"/>
          <w:sz w:val="20"/>
          <w:szCs w:val="20"/>
        </w:rPr>
        <w:t>Synergistic Effects of Coffee and Tea Byproducts and Microorganisms on Cadmium Detoxification in Soils</w:t>
      </w:r>
      <w:r w:rsidRPr="00CB6B43">
        <w:rPr>
          <w:rFonts w:eastAsia="PingFang SC" w:hint="eastAsia"/>
          <w:sz w:val="20"/>
          <w:szCs w:val="20"/>
        </w:rPr>
        <w:t>:</w:t>
      </w:r>
    </w:p>
    <w:p w14:paraId="39EC3E3B" w14:textId="77777777" w:rsidR="009C0A5E" w:rsidRPr="00CB6B43" w:rsidRDefault="00000000">
      <w:pPr>
        <w:pStyle w:val="af3"/>
        <w:widowControl w:val="0"/>
        <w:numPr>
          <w:ilvl w:val="0"/>
          <w:numId w:val="1"/>
        </w:numPr>
        <w:autoSpaceDE w:val="0"/>
        <w:autoSpaceDN w:val="0"/>
        <w:adjustRightInd w:val="0"/>
        <w:spacing w:line="360" w:lineRule="auto"/>
        <w:jc w:val="both"/>
        <w:rPr>
          <w:rFonts w:eastAsia="PingFang SC"/>
          <w:sz w:val="20"/>
          <w:szCs w:val="20"/>
        </w:rPr>
      </w:pPr>
      <w:r w:rsidRPr="00CB6B43">
        <w:rPr>
          <w:rFonts w:eastAsia="PingFang SC"/>
          <w:sz w:val="20"/>
          <w:szCs w:val="20"/>
        </w:rPr>
        <w:t>Participated in experiments exploring detoxification synergies between coffee/tea byproducts and microorganisms.</w:t>
      </w:r>
    </w:p>
    <w:p w14:paraId="26519526" w14:textId="77777777" w:rsidR="009C0A5E" w:rsidRPr="00CB6B43" w:rsidRDefault="00000000">
      <w:pPr>
        <w:pStyle w:val="af3"/>
        <w:widowControl w:val="0"/>
        <w:numPr>
          <w:ilvl w:val="0"/>
          <w:numId w:val="1"/>
        </w:numPr>
        <w:autoSpaceDE w:val="0"/>
        <w:autoSpaceDN w:val="0"/>
        <w:adjustRightInd w:val="0"/>
        <w:spacing w:line="360" w:lineRule="auto"/>
        <w:jc w:val="both"/>
        <w:rPr>
          <w:rFonts w:eastAsia="PingFang SC"/>
          <w:sz w:val="20"/>
          <w:szCs w:val="20"/>
        </w:rPr>
      </w:pPr>
      <w:r w:rsidRPr="00CB6B43">
        <w:rPr>
          <w:rFonts w:eastAsia="PingFang SC"/>
          <w:sz w:val="20"/>
          <w:szCs w:val="20"/>
        </w:rPr>
        <w:t>Analy</w:t>
      </w:r>
      <w:r w:rsidRPr="00CB6B43">
        <w:rPr>
          <w:rFonts w:eastAsia="PingFang SC" w:hint="eastAsia"/>
          <w:sz w:val="20"/>
          <w:szCs w:val="20"/>
        </w:rPr>
        <w:t>s</w:t>
      </w:r>
      <w:r w:rsidRPr="00CB6B43">
        <w:rPr>
          <w:rFonts w:eastAsia="PingFang SC"/>
          <w:sz w:val="20"/>
          <w:szCs w:val="20"/>
        </w:rPr>
        <w:t>ed data, co-authored draft reports, and contributed to data visualization.</w:t>
      </w:r>
    </w:p>
    <w:tbl>
      <w:tblPr>
        <w:tblStyle w:val="af"/>
        <w:tblW w:w="1133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25"/>
        <w:gridCol w:w="2410"/>
      </w:tblGrid>
      <w:tr w:rsidR="009C0A5E" w:rsidRPr="00CB6B43" w14:paraId="35FE9C8B" w14:textId="77777777">
        <w:tc>
          <w:tcPr>
            <w:tcW w:w="8925" w:type="dxa"/>
            <w:vAlign w:val="center"/>
          </w:tcPr>
          <w:p w14:paraId="37CDC9A3" w14:textId="77777777" w:rsidR="009C0A5E" w:rsidRPr="00CB6B43" w:rsidRDefault="00000000">
            <w:pPr>
              <w:pStyle w:val="af9"/>
              <w:spacing w:line="360" w:lineRule="auto"/>
              <w:ind w:leftChars="-53" w:left="-117" w:rightChars="-370" w:right="-814" w:firstLineChars="71" w:firstLine="143"/>
              <w:rPr>
                <w:rFonts w:ascii="Times New Roman" w:hAnsi="Times New Roman" w:cs="Times New Roman"/>
                <w:sz w:val="20"/>
                <w:szCs w:val="20"/>
              </w:rPr>
            </w:pPr>
            <w:r w:rsidRPr="00CB6B43">
              <w:rPr>
                <w:rFonts w:ascii="Times New Roman" w:hAnsi="Times New Roman" w:cs="Times New Roman"/>
                <w:sz w:val="20"/>
                <w:szCs w:val="20"/>
              </w:rPr>
              <w:t>Structure Biology Laboratory, Shenzhen Medical Academy of Research and Translation (China)</w:t>
            </w:r>
          </w:p>
        </w:tc>
        <w:tc>
          <w:tcPr>
            <w:tcW w:w="2410" w:type="dxa"/>
            <w:vAlign w:val="center"/>
          </w:tcPr>
          <w:p w14:paraId="6CBD51F9" w14:textId="77777777" w:rsidR="009C0A5E" w:rsidRPr="00CB6B43" w:rsidRDefault="00000000">
            <w:pPr>
              <w:pStyle w:val="afb"/>
              <w:wordWrap w:val="0"/>
              <w:spacing w:line="360" w:lineRule="auto"/>
              <w:ind w:right="305"/>
              <w:rPr>
                <w:rFonts w:ascii="Times New Roman" w:hAnsi="Times New Roman" w:cs="Times New Roman"/>
                <w:sz w:val="20"/>
                <w:szCs w:val="20"/>
              </w:rPr>
            </w:pPr>
            <w:r w:rsidRPr="00CB6B43">
              <w:rPr>
                <w:rFonts w:ascii="Times New Roman" w:eastAsia="宋体" w:hAnsi="Times New Roman" w:cs="Times New Roman" w:hint="eastAsia"/>
                <w:sz w:val="20"/>
                <w:szCs w:val="20"/>
              </w:rPr>
              <w:t>Guangdong</w:t>
            </w:r>
            <w:r w:rsidRPr="00CB6B43">
              <w:rPr>
                <w:rFonts w:ascii="Times New Roman" w:eastAsiaTheme="minorEastAsia" w:hAnsi="Times New Roman" w:cs="Times New Roman" w:hint="eastAsia"/>
                <w:sz w:val="20"/>
                <w:szCs w:val="20"/>
              </w:rPr>
              <w:t>, China</w:t>
            </w:r>
          </w:p>
        </w:tc>
      </w:tr>
      <w:tr w:rsidR="009C0A5E" w:rsidRPr="00CB6B43" w14:paraId="6321E82B" w14:textId="77777777">
        <w:tc>
          <w:tcPr>
            <w:tcW w:w="8925" w:type="dxa"/>
            <w:vAlign w:val="center"/>
          </w:tcPr>
          <w:p w14:paraId="03C8474F" w14:textId="77777777" w:rsidR="009C0A5E" w:rsidRPr="00CB6B43" w:rsidRDefault="00000000">
            <w:pPr>
              <w:pStyle w:val="af9"/>
              <w:spacing w:line="360" w:lineRule="auto"/>
              <w:ind w:leftChars="-53" w:left="-117" w:rightChars="-370" w:right="-814" w:firstLineChars="71" w:firstLine="143"/>
              <w:rPr>
                <w:rFonts w:ascii="Times New Roman" w:hAnsi="Times New Roman" w:cs="Times New Roman"/>
                <w:sz w:val="20"/>
                <w:szCs w:val="20"/>
              </w:rPr>
            </w:pPr>
            <w:r w:rsidRPr="00CB6B43">
              <w:rPr>
                <w:rFonts w:ascii="Times New Roman" w:eastAsia="宋体" w:hAnsi="Times New Roman" w:cs="Times New Roman"/>
                <w:sz w:val="20"/>
                <w:szCs w:val="20"/>
              </w:rPr>
              <w:t>Visiting Student</w:t>
            </w:r>
          </w:p>
        </w:tc>
        <w:tc>
          <w:tcPr>
            <w:tcW w:w="2410" w:type="dxa"/>
            <w:vAlign w:val="center"/>
          </w:tcPr>
          <w:p w14:paraId="356447C4" w14:textId="77777777" w:rsidR="009C0A5E" w:rsidRPr="00CB6B43" w:rsidRDefault="00000000">
            <w:pPr>
              <w:pStyle w:val="afb"/>
              <w:spacing w:line="360" w:lineRule="auto"/>
              <w:ind w:right="305"/>
              <w:rPr>
                <w:rFonts w:ascii="Times New Roman" w:hAnsi="Times New Roman" w:cs="Times New Roman"/>
                <w:sz w:val="20"/>
                <w:szCs w:val="20"/>
              </w:rPr>
            </w:pPr>
            <w:r w:rsidRPr="00CB6B43">
              <w:rPr>
                <w:rFonts w:ascii="Times New Roman" w:eastAsiaTheme="minorEastAsia" w:hAnsi="Times New Roman" w:cs="Times New Roman" w:hint="eastAsia"/>
                <w:sz w:val="20"/>
                <w:szCs w:val="20"/>
              </w:rPr>
              <w:t>07/2024-10/2024</w:t>
            </w:r>
          </w:p>
        </w:tc>
      </w:tr>
    </w:tbl>
    <w:p w14:paraId="4052B534" w14:textId="77777777" w:rsidR="009C0A5E" w:rsidRPr="00CB6B43" w:rsidRDefault="00000000">
      <w:pPr>
        <w:widowControl w:val="0"/>
        <w:autoSpaceDE w:val="0"/>
        <w:autoSpaceDN w:val="0"/>
        <w:adjustRightInd w:val="0"/>
        <w:spacing w:line="360" w:lineRule="auto"/>
        <w:jc w:val="both"/>
        <w:rPr>
          <w:rFonts w:eastAsia="PingFang SC"/>
          <w:sz w:val="20"/>
          <w:szCs w:val="20"/>
        </w:rPr>
      </w:pPr>
      <w:commentRangeStart w:id="1"/>
      <w:r w:rsidRPr="00CB6B43">
        <w:rPr>
          <w:rFonts w:eastAsia="PingFang SC"/>
          <w:sz w:val="20"/>
          <w:szCs w:val="20"/>
        </w:rPr>
        <w:lastRenderedPageBreak/>
        <w:t>Cryo-ET:</w:t>
      </w:r>
      <w:commentRangeEnd w:id="1"/>
      <w:r w:rsidR="00631D2F">
        <w:rPr>
          <w:rStyle w:val="af0"/>
        </w:rPr>
        <w:commentReference w:id="1"/>
      </w:r>
    </w:p>
    <w:p w14:paraId="01B369B8" w14:textId="77777777" w:rsidR="009C0A5E" w:rsidRPr="00CB6B43" w:rsidRDefault="00000000">
      <w:pPr>
        <w:pStyle w:val="af3"/>
        <w:widowControl w:val="0"/>
        <w:numPr>
          <w:ilvl w:val="0"/>
          <w:numId w:val="1"/>
        </w:numPr>
        <w:autoSpaceDE w:val="0"/>
        <w:autoSpaceDN w:val="0"/>
        <w:adjustRightInd w:val="0"/>
        <w:spacing w:line="360" w:lineRule="auto"/>
        <w:jc w:val="both"/>
        <w:rPr>
          <w:rFonts w:eastAsia="PingFang SC"/>
          <w:sz w:val="20"/>
          <w:szCs w:val="20"/>
        </w:rPr>
      </w:pPr>
      <w:r w:rsidRPr="00CB6B43">
        <w:rPr>
          <w:rFonts w:eastAsia="PingFang SC"/>
          <w:sz w:val="20"/>
          <w:szCs w:val="20"/>
        </w:rPr>
        <w:t>Conducted sample preparation and data processing for Cryo-ET studies of native sea urchin sperm flagella, toxoplasma, and linear worms.</w:t>
      </w:r>
    </w:p>
    <w:p w14:paraId="1ACC7253" w14:textId="77777777" w:rsidR="009C0A5E" w:rsidRPr="00CB6B43" w:rsidRDefault="00000000">
      <w:pPr>
        <w:pStyle w:val="af3"/>
        <w:widowControl w:val="0"/>
        <w:numPr>
          <w:ilvl w:val="0"/>
          <w:numId w:val="1"/>
        </w:numPr>
        <w:autoSpaceDE w:val="0"/>
        <w:autoSpaceDN w:val="0"/>
        <w:adjustRightInd w:val="0"/>
        <w:spacing w:line="360" w:lineRule="auto"/>
        <w:jc w:val="both"/>
        <w:rPr>
          <w:rFonts w:eastAsia="PingFang SC"/>
          <w:sz w:val="20"/>
          <w:szCs w:val="20"/>
        </w:rPr>
      </w:pPr>
      <w:r w:rsidRPr="00CB6B43">
        <w:rPr>
          <w:rFonts w:eastAsia="PingFang SC"/>
          <w:sz w:val="20"/>
          <w:szCs w:val="20"/>
        </w:rPr>
        <w:t>Contributed to structural insights into diverse biological entities.</w:t>
      </w:r>
    </w:p>
    <w:p w14:paraId="0024AA73" w14:textId="77777777" w:rsidR="009C0A5E" w:rsidRPr="00CB6B43" w:rsidRDefault="00000000">
      <w:pPr>
        <w:widowControl w:val="0"/>
        <w:autoSpaceDE w:val="0"/>
        <w:autoSpaceDN w:val="0"/>
        <w:adjustRightInd w:val="0"/>
        <w:spacing w:line="360" w:lineRule="auto"/>
        <w:jc w:val="both"/>
        <w:rPr>
          <w:rFonts w:eastAsia="PingFang SC"/>
          <w:sz w:val="20"/>
          <w:szCs w:val="20"/>
        </w:rPr>
      </w:pPr>
      <w:r w:rsidRPr="00CB6B43">
        <w:rPr>
          <w:rFonts w:eastAsia="PingFang SC"/>
          <w:sz w:val="20"/>
          <w:szCs w:val="20"/>
        </w:rPr>
        <w:t>Cell Biology:</w:t>
      </w:r>
    </w:p>
    <w:p w14:paraId="67DE7801" w14:textId="77777777" w:rsidR="009C0A5E" w:rsidRPr="00CB6B43" w:rsidRDefault="00000000">
      <w:pPr>
        <w:pStyle w:val="af3"/>
        <w:widowControl w:val="0"/>
        <w:numPr>
          <w:ilvl w:val="0"/>
          <w:numId w:val="1"/>
        </w:numPr>
        <w:autoSpaceDE w:val="0"/>
        <w:autoSpaceDN w:val="0"/>
        <w:adjustRightInd w:val="0"/>
        <w:spacing w:line="360" w:lineRule="auto"/>
        <w:jc w:val="both"/>
        <w:rPr>
          <w:rFonts w:eastAsia="PingFang SC"/>
          <w:sz w:val="20"/>
          <w:szCs w:val="20"/>
        </w:rPr>
      </w:pPr>
      <w:r w:rsidRPr="00CB6B43">
        <w:rPr>
          <w:rFonts w:eastAsia="PingFang SC"/>
          <w:sz w:val="20"/>
          <w:szCs w:val="20"/>
        </w:rPr>
        <w:t>Performed cell culture and ELISA analysis on Madin-Darby Canine Kidney (MDCK) cells.</w:t>
      </w:r>
    </w:p>
    <w:p w14:paraId="244075DB" w14:textId="6E744782" w:rsidR="00DF0C11" w:rsidRPr="00CB6B43" w:rsidRDefault="00000000">
      <w:pPr>
        <w:pStyle w:val="af3"/>
        <w:widowControl w:val="0"/>
        <w:numPr>
          <w:ilvl w:val="0"/>
          <w:numId w:val="1"/>
        </w:numPr>
        <w:autoSpaceDE w:val="0"/>
        <w:autoSpaceDN w:val="0"/>
        <w:adjustRightInd w:val="0"/>
        <w:spacing w:line="360" w:lineRule="auto"/>
        <w:jc w:val="both"/>
        <w:rPr>
          <w:rFonts w:eastAsia="PingFang SC"/>
          <w:sz w:val="20"/>
          <w:szCs w:val="20"/>
        </w:rPr>
      </w:pPr>
      <w:r w:rsidRPr="00CB6B43">
        <w:rPr>
          <w:rFonts w:eastAsia="PingFang SC"/>
          <w:sz w:val="20"/>
          <w:szCs w:val="20"/>
        </w:rPr>
        <w:t>Investigated the localisation of primary cilia using fluorescence microscopy to support research on cellular mechanisms relevant to disease models.</w:t>
      </w:r>
    </w:p>
    <w:p w14:paraId="118D4469" w14:textId="77777777" w:rsidR="009C0A5E" w:rsidRPr="00CB6B43" w:rsidRDefault="00000000">
      <w:pPr>
        <w:spacing w:line="360" w:lineRule="auto"/>
        <w:rPr>
          <w:b/>
          <w:bCs/>
          <w:sz w:val="24"/>
          <w:szCs w:val="24"/>
        </w:rPr>
      </w:pPr>
      <w:r w:rsidRPr="00CB6B43">
        <w:rPr>
          <w:b/>
          <w:bCs/>
          <w:sz w:val="24"/>
          <w:szCs w:val="24"/>
        </w:rPr>
        <w:t>SKILLS</w:t>
      </w:r>
    </w:p>
    <w:p w14:paraId="58B6C37A" w14:textId="77777777" w:rsidR="009C0A5E" w:rsidRPr="00CB6B43" w:rsidRDefault="00000000">
      <w:pPr>
        <w:widowControl w:val="0"/>
        <w:autoSpaceDE w:val="0"/>
        <w:autoSpaceDN w:val="0"/>
        <w:adjustRightInd w:val="0"/>
        <w:spacing w:line="360" w:lineRule="auto"/>
        <w:jc w:val="both"/>
        <w:rPr>
          <w:rFonts w:eastAsia="PingFang SC"/>
          <w:b/>
          <w:bCs/>
          <w:sz w:val="20"/>
          <w:szCs w:val="20"/>
        </w:rPr>
      </w:pPr>
      <w:r w:rsidRPr="00CB6B43">
        <w:rPr>
          <w:rFonts w:eastAsia="PingFang SC"/>
          <w:b/>
          <w:bCs/>
          <w:sz w:val="20"/>
          <w:szCs w:val="20"/>
        </w:rPr>
        <w:t>Laboratory:</w:t>
      </w:r>
    </w:p>
    <w:p w14:paraId="7675F256" w14:textId="77777777" w:rsidR="009C0A5E" w:rsidRPr="00CB6B43" w:rsidRDefault="00000000">
      <w:pPr>
        <w:pStyle w:val="af3"/>
        <w:widowControl w:val="0"/>
        <w:numPr>
          <w:ilvl w:val="0"/>
          <w:numId w:val="1"/>
        </w:numPr>
        <w:autoSpaceDE w:val="0"/>
        <w:autoSpaceDN w:val="0"/>
        <w:adjustRightInd w:val="0"/>
        <w:spacing w:line="360" w:lineRule="auto"/>
        <w:jc w:val="both"/>
        <w:rPr>
          <w:rFonts w:eastAsia="PingFang SC"/>
          <w:sz w:val="20"/>
          <w:szCs w:val="20"/>
        </w:rPr>
      </w:pPr>
      <w:r w:rsidRPr="00CB6B43">
        <w:rPr>
          <w:rFonts w:eastAsia="PingFang SC"/>
          <w:sz w:val="20"/>
          <w:szCs w:val="20"/>
        </w:rPr>
        <w:t>Microbiology: Aseptic techniques, bacterial culture, cell incubation and antimicrobial susceptibility testing</w:t>
      </w:r>
      <w:r w:rsidRPr="00CB6B43">
        <w:rPr>
          <w:rFonts w:eastAsia="PingFang SC" w:hint="eastAsia"/>
          <w:sz w:val="20"/>
          <w:szCs w:val="20"/>
        </w:rPr>
        <w:t>.</w:t>
      </w:r>
    </w:p>
    <w:p w14:paraId="2864D148" w14:textId="579A825B" w:rsidR="00DF0C11" w:rsidRPr="00CB6B43" w:rsidRDefault="00000000">
      <w:pPr>
        <w:pStyle w:val="af3"/>
        <w:widowControl w:val="0"/>
        <w:numPr>
          <w:ilvl w:val="0"/>
          <w:numId w:val="1"/>
        </w:numPr>
        <w:autoSpaceDE w:val="0"/>
        <w:autoSpaceDN w:val="0"/>
        <w:adjustRightInd w:val="0"/>
        <w:spacing w:line="360" w:lineRule="auto"/>
        <w:jc w:val="both"/>
        <w:rPr>
          <w:rFonts w:eastAsia="PingFang SC"/>
          <w:sz w:val="20"/>
          <w:szCs w:val="20"/>
        </w:rPr>
      </w:pPr>
      <w:r w:rsidRPr="00CB6B43">
        <w:rPr>
          <w:rFonts w:eastAsia="PingFang SC"/>
          <w:sz w:val="20"/>
          <w:szCs w:val="20"/>
        </w:rPr>
        <w:t xml:space="preserve">Molecular Biology: </w:t>
      </w:r>
      <w:r w:rsidR="004913F4" w:rsidRPr="00CB6B43">
        <w:rPr>
          <w:rFonts w:eastAsia="PingFang SC"/>
          <w:sz w:val="20"/>
          <w:szCs w:val="20"/>
        </w:rPr>
        <w:t>genomic DNA &amp; total RNA isolation</w:t>
      </w:r>
      <w:r w:rsidR="004913F4" w:rsidRPr="00CB6B43">
        <w:rPr>
          <w:rFonts w:eastAsia="PingFang SC" w:hint="eastAsia"/>
          <w:sz w:val="20"/>
          <w:szCs w:val="20"/>
        </w:rPr>
        <w:t>,</w:t>
      </w:r>
      <w:r w:rsidR="004913F4" w:rsidRPr="00CB6B43">
        <w:rPr>
          <w:rFonts w:eastAsia="PingFang SC"/>
          <w:sz w:val="20"/>
          <w:szCs w:val="20"/>
        </w:rPr>
        <w:t xml:space="preserve"> </w:t>
      </w:r>
      <w:r w:rsidRPr="00CB6B43">
        <w:rPr>
          <w:rFonts w:eastAsia="PingFang SC"/>
          <w:sz w:val="20"/>
          <w:szCs w:val="20"/>
        </w:rPr>
        <w:t>Primer</w:t>
      </w:r>
      <w:r w:rsidR="00835AD0" w:rsidRPr="00CB6B43">
        <w:rPr>
          <w:rFonts w:eastAsia="PingFang SC" w:hint="eastAsia"/>
          <w:sz w:val="20"/>
          <w:szCs w:val="20"/>
        </w:rPr>
        <w:t>/Probe</w:t>
      </w:r>
      <w:r w:rsidRPr="00CB6B43">
        <w:rPr>
          <w:rFonts w:eastAsia="PingFang SC"/>
          <w:sz w:val="20"/>
          <w:szCs w:val="20"/>
        </w:rPr>
        <w:t xml:space="preserve"> design, PCR amplification</w:t>
      </w:r>
      <w:r w:rsidR="004913F4" w:rsidRPr="00CB6B43">
        <w:rPr>
          <w:rFonts w:eastAsia="PingFang SC" w:hint="eastAsia"/>
          <w:sz w:val="20"/>
          <w:szCs w:val="20"/>
        </w:rPr>
        <w:t>,</w:t>
      </w:r>
      <w:r w:rsidR="004913F4" w:rsidRPr="00CB6B43">
        <w:rPr>
          <w:rFonts w:eastAsia="PingFang SC"/>
          <w:sz w:val="20"/>
          <w:szCs w:val="20"/>
        </w:rPr>
        <w:t xml:space="preserve"> one-step RT-</w:t>
      </w:r>
      <w:proofErr w:type="gramStart"/>
      <w:r w:rsidR="004913F4" w:rsidRPr="00CB6B43">
        <w:rPr>
          <w:rFonts w:eastAsia="PingFang SC"/>
          <w:sz w:val="20"/>
          <w:szCs w:val="20"/>
        </w:rPr>
        <w:t xml:space="preserve">PCR </w:t>
      </w:r>
      <w:r w:rsidRPr="00CB6B43">
        <w:rPr>
          <w:rFonts w:eastAsia="PingFang SC"/>
          <w:sz w:val="20"/>
          <w:szCs w:val="20"/>
        </w:rPr>
        <w:t>,</w:t>
      </w:r>
      <w:proofErr w:type="gramEnd"/>
      <w:r w:rsidRPr="00CB6B43">
        <w:rPr>
          <w:rFonts w:eastAsia="PingFang SC"/>
          <w:sz w:val="20"/>
          <w:szCs w:val="20"/>
        </w:rPr>
        <w:t xml:space="preserve"> ELISA immunoassay, gas chromatography and gel electrophoresis, agarose gel electrophoresis &amp; gel extraction, </w:t>
      </w:r>
      <w:r w:rsidR="004913F4" w:rsidRPr="00CB6B43">
        <w:rPr>
          <w:rFonts w:eastAsia="PingFang SC"/>
          <w:sz w:val="20"/>
          <w:szCs w:val="20"/>
        </w:rPr>
        <w:t>FTIR, ICP, XRD, Cryo-Electron Tomography (Cryo-ET) sample preparation</w:t>
      </w:r>
      <w:r w:rsidR="00172EEF" w:rsidRPr="00CB6B43">
        <w:rPr>
          <w:rFonts w:eastAsia="PingFang SC" w:hint="eastAsia"/>
          <w:sz w:val="20"/>
          <w:szCs w:val="20"/>
        </w:rPr>
        <w:t>.</w:t>
      </w:r>
    </w:p>
    <w:p w14:paraId="25DED756" w14:textId="05C33FC4" w:rsidR="009C0A5E" w:rsidRPr="00CB6B43" w:rsidRDefault="00000000">
      <w:pPr>
        <w:pStyle w:val="af3"/>
        <w:widowControl w:val="0"/>
        <w:numPr>
          <w:ilvl w:val="0"/>
          <w:numId w:val="1"/>
        </w:numPr>
        <w:autoSpaceDE w:val="0"/>
        <w:autoSpaceDN w:val="0"/>
        <w:adjustRightInd w:val="0"/>
        <w:spacing w:line="360" w:lineRule="auto"/>
        <w:jc w:val="both"/>
        <w:rPr>
          <w:rFonts w:eastAsia="PingFang SC"/>
          <w:sz w:val="20"/>
          <w:szCs w:val="20"/>
        </w:rPr>
      </w:pPr>
      <w:r w:rsidRPr="00CB6B43">
        <w:rPr>
          <w:rFonts w:eastAsia="PingFang SC"/>
          <w:b/>
          <w:bCs/>
          <w:sz w:val="20"/>
          <w:szCs w:val="20"/>
        </w:rPr>
        <w:t xml:space="preserve">Technical: </w:t>
      </w:r>
      <w:r w:rsidRPr="00CB6B43">
        <w:rPr>
          <w:rFonts w:eastAsia="PingFang SC"/>
          <w:sz w:val="20"/>
          <w:szCs w:val="20"/>
        </w:rPr>
        <w:t xml:space="preserve">Linux, </w:t>
      </w:r>
      <w:r w:rsidRPr="00CB6B43">
        <w:rPr>
          <w:rFonts w:eastAsia="PingFang SC" w:hint="eastAsia"/>
          <w:sz w:val="20"/>
          <w:szCs w:val="20"/>
        </w:rPr>
        <w:t>Ms Office</w:t>
      </w:r>
      <w:r w:rsidRPr="00CB6B43">
        <w:rPr>
          <w:rFonts w:eastAsia="PingFang SC"/>
          <w:sz w:val="20"/>
          <w:szCs w:val="20"/>
        </w:rPr>
        <w:t xml:space="preserve"> and Python</w:t>
      </w:r>
    </w:p>
    <w:p w14:paraId="70F7CF16" w14:textId="77777777" w:rsidR="009C0A5E" w:rsidRPr="00CB6B43" w:rsidRDefault="00000000">
      <w:pPr>
        <w:pStyle w:val="af3"/>
        <w:widowControl w:val="0"/>
        <w:numPr>
          <w:ilvl w:val="0"/>
          <w:numId w:val="1"/>
        </w:numPr>
        <w:autoSpaceDE w:val="0"/>
        <w:autoSpaceDN w:val="0"/>
        <w:adjustRightInd w:val="0"/>
        <w:spacing w:line="360" w:lineRule="auto"/>
        <w:jc w:val="both"/>
        <w:rPr>
          <w:rFonts w:eastAsia="PingFang SC"/>
          <w:sz w:val="20"/>
          <w:szCs w:val="20"/>
        </w:rPr>
      </w:pPr>
      <w:r w:rsidRPr="00CB6B43">
        <w:rPr>
          <w:rFonts w:eastAsia="PingFang SC"/>
          <w:sz w:val="20"/>
          <w:szCs w:val="20"/>
        </w:rPr>
        <w:t>Conducted sample preparation and data processing for Cryo-ET studies of native sea urchin sperm flagella, toxoplasma, and linear worms.</w:t>
      </w:r>
    </w:p>
    <w:p w14:paraId="6DD07ED1" w14:textId="77777777" w:rsidR="009C0A5E" w:rsidRPr="00CB6B43" w:rsidRDefault="00000000">
      <w:pPr>
        <w:widowControl w:val="0"/>
        <w:autoSpaceDE w:val="0"/>
        <w:autoSpaceDN w:val="0"/>
        <w:adjustRightInd w:val="0"/>
        <w:spacing w:line="360" w:lineRule="auto"/>
        <w:jc w:val="both"/>
        <w:rPr>
          <w:rFonts w:eastAsia="PingFang SC"/>
          <w:b/>
          <w:bCs/>
          <w:sz w:val="20"/>
          <w:szCs w:val="20"/>
        </w:rPr>
      </w:pPr>
      <w:r w:rsidRPr="00CB6B43">
        <w:rPr>
          <w:rFonts w:eastAsia="PingFang SC"/>
          <w:b/>
          <w:bCs/>
          <w:sz w:val="20"/>
          <w:szCs w:val="20"/>
        </w:rPr>
        <w:t>Data Processing:</w:t>
      </w:r>
    </w:p>
    <w:p w14:paraId="729E13A1" w14:textId="77777777" w:rsidR="009C0A5E" w:rsidRPr="00CB6B43" w:rsidRDefault="00000000">
      <w:pPr>
        <w:pStyle w:val="af3"/>
        <w:widowControl w:val="0"/>
        <w:numPr>
          <w:ilvl w:val="0"/>
          <w:numId w:val="1"/>
        </w:numPr>
        <w:autoSpaceDE w:val="0"/>
        <w:autoSpaceDN w:val="0"/>
        <w:adjustRightInd w:val="0"/>
        <w:spacing w:line="360" w:lineRule="auto"/>
        <w:jc w:val="both"/>
        <w:rPr>
          <w:rFonts w:eastAsia="PingFang SC"/>
          <w:sz w:val="20"/>
          <w:szCs w:val="20"/>
        </w:rPr>
      </w:pPr>
      <w:r w:rsidRPr="00CB6B43">
        <w:rPr>
          <w:rFonts w:eastAsia="PingFang SC"/>
          <w:sz w:val="20"/>
          <w:szCs w:val="20"/>
        </w:rPr>
        <w:t>Data Analysation: Cryo-ET (tilt alignment, reconstruction and CTF correction) and Qiime2</w:t>
      </w:r>
      <w:r w:rsidRPr="00CB6B43">
        <w:rPr>
          <w:rFonts w:eastAsia="PingFang SC" w:hint="eastAsia"/>
          <w:sz w:val="20"/>
          <w:szCs w:val="20"/>
        </w:rPr>
        <w:t>.</w:t>
      </w:r>
    </w:p>
    <w:p w14:paraId="5D142DA3" w14:textId="77777777" w:rsidR="009C0A5E" w:rsidRPr="00CB6B43" w:rsidRDefault="00000000">
      <w:pPr>
        <w:pStyle w:val="af3"/>
        <w:widowControl w:val="0"/>
        <w:numPr>
          <w:ilvl w:val="0"/>
          <w:numId w:val="1"/>
        </w:numPr>
        <w:autoSpaceDE w:val="0"/>
        <w:autoSpaceDN w:val="0"/>
        <w:adjustRightInd w:val="0"/>
        <w:spacing w:line="360" w:lineRule="auto"/>
        <w:jc w:val="both"/>
        <w:rPr>
          <w:rFonts w:eastAsia="PingFang SC"/>
          <w:sz w:val="20"/>
          <w:szCs w:val="20"/>
        </w:rPr>
      </w:pPr>
      <w:r w:rsidRPr="00CB6B43">
        <w:rPr>
          <w:rFonts w:eastAsia="PingFang SC"/>
          <w:sz w:val="20"/>
          <w:szCs w:val="20"/>
        </w:rPr>
        <w:t>Data Visualisation: Origin</w:t>
      </w:r>
      <w:r w:rsidRPr="00CB6B43">
        <w:rPr>
          <w:rFonts w:eastAsia="PingFang SC" w:hint="eastAsia"/>
          <w:sz w:val="20"/>
          <w:szCs w:val="20"/>
        </w:rPr>
        <w:t>.</w:t>
      </w:r>
    </w:p>
    <w:p w14:paraId="609A5446" w14:textId="77777777" w:rsidR="009C0A5E" w:rsidRPr="00CB6B43" w:rsidRDefault="00000000">
      <w:pPr>
        <w:widowControl w:val="0"/>
        <w:autoSpaceDE w:val="0"/>
        <w:autoSpaceDN w:val="0"/>
        <w:adjustRightInd w:val="0"/>
        <w:spacing w:line="360" w:lineRule="auto"/>
        <w:jc w:val="both"/>
        <w:rPr>
          <w:rFonts w:eastAsia="PingFang SC"/>
          <w:sz w:val="20"/>
          <w:szCs w:val="20"/>
        </w:rPr>
      </w:pPr>
      <w:r w:rsidRPr="00CB6B43">
        <w:rPr>
          <w:rFonts w:eastAsia="PingFang SC" w:hint="eastAsia"/>
          <w:b/>
          <w:bCs/>
          <w:sz w:val="20"/>
          <w:szCs w:val="20"/>
        </w:rPr>
        <w:t xml:space="preserve">Language: </w:t>
      </w:r>
      <w:r w:rsidRPr="00CB6B43">
        <w:rPr>
          <w:rFonts w:eastAsia="PingFang SC" w:hint="eastAsia"/>
          <w:sz w:val="20"/>
          <w:szCs w:val="20"/>
        </w:rPr>
        <w:t xml:space="preserve">Proficient in </w:t>
      </w:r>
      <w:r w:rsidRPr="00CB6B43">
        <w:rPr>
          <w:rFonts w:eastAsia="PingFang SC"/>
          <w:sz w:val="20"/>
          <w:szCs w:val="20"/>
        </w:rPr>
        <w:t>Mandarin and English</w:t>
      </w:r>
      <w:r w:rsidRPr="00CB6B43">
        <w:rPr>
          <w:rFonts w:eastAsia="PingFang SC" w:hint="eastAsia"/>
          <w:sz w:val="20"/>
          <w:szCs w:val="20"/>
        </w:rPr>
        <w:t>.</w:t>
      </w:r>
    </w:p>
    <w:p w14:paraId="692B0610" w14:textId="77777777" w:rsidR="009C0A5E" w:rsidRPr="00CB6B43" w:rsidRDefault="00000000">
      <w:pPr>
        <w:spacing w:line="360" w:lineRule="auto"/>
        <w:rPr>
          <w:b/>
          <w:bCs/>
          <w:sz w:val="24"/>
          <w:szCs w:val="24"/>
        </w:rPr>
      </w:pPr>
      <w:r w:rsidRPr="00CB6B43">
        <w:rPr>
          <w:b/>
          <w:bCs/>
          <w:sz w:val="24"/>
          <w:szCs w:val="24"/>
        </w:rPr>
        <w:t>POSTERS &amp; PRESENTATIONS</w:t>
      </w:r>
    </w:p>
    <w:tbl>
      <w:tblPr>
        <w:tblStyle w:val="af"/>
        <w:tblW w:w="10908" w:type="dxa"/>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65"/>
        <w:gridCol w:w="1843"/>
      </w:tblGrid>
      <w:tr w:rsidR="009C0A5E" w:rsidRPr="00CB6B43" w14:paraId="75D85ECD" w14:textId="77777777">
        <w:tc>
          <w:tcPr>
            <w:tcW w:w="9065" w:type="dxa"/>
            <w:vAlign w:val="bottom"/>
          </w:tcPr>
          <w:p w14:paraId="18F3CB74" w14:textId="49018C29" w:rsidR="009C0A5E" w:rsidRPr="00CB6B43" w:rsidRDefault="00000000">
            <w:pPr>
              <w:pStyle w:val="af3"/>
              <w:widowControl w:val="0"/>
              <w:numPr>
                <w:ilvl w:val="0"/>
                <w:numId w:val="1"/>
              </w:numPr>
              <w:autoSpaceDE w:val="0"/>
              <w:autoSpaceDN w:val="0"/>
              <w:adjustRightInd w:val="0"/>
              <w:spacing w:line="360" w:lineRule="auto"/>
              <w:ind w:left="597"/>
              <w:rPr>
                <w:rFonts w:eastAsia="宋体"/>
                <w:bCs/>
                <w:sz w:val="20"/>
                <w:szCs w:val="20"/>
              </w:rPr>
            </w:pPr>
            <w:r w:rsidRPr="00CB6B43">
              <w:rPr>
                <w:rFonts w:eastAsia="宋体"/>
                <w:bCs/>
                <w:sz w:val="20"/>
                <w:szCs w:val="20"/>
              </w:rPr>
              <w:t xml:space="preserve">Poster: “Elucidating the Ultrastructure of </w:t>
            </w:r>
            <w:proofErr w:type="spellStart"/>
            <w:r w:rsidRPr="00CB6B43">
              <w:rPr>
                <w:rFonts w:eastAsia="宋体"/>
                <w:bCs/>
                <w:sz w:val="20"/>
                <w:szCs w:val="20"/>
              </w:rPr>
              <w:t>Apicoplast</w:t>
            </w:r>
            <w:proofErr w:type="spellEnd"/>
            <w:r w:rsidRPr="00CB6B43">
              <w:rPr>
                <w:rFonts w:eastAsia="宋体"/>
                <w:bCs/>
                <w:sz w:val="20"/>
                <w:szCs w:val="20"/>
              </w:rPr>
              <w:t xml:space="preserve"> in Toxoplasma gondii by Cryo-electron</w:t>
            </w:r>
            <w:r w:rsidRPr="00CB6B43">
              <w:rPr>
                <w:rFonts w:eastAsia="宋体" w:hint="eastAsia"/>
                <w:bCs/>
                <w:sz w:val="20"/>
                <w:szCs w:val="20"/>
              </w:rPr>
              <w:t xml:space="preserve"> </w:t>
            </w:r>
            <w:r w:rsidR="00DF0C11" w:rsidRPr="00CB6B43">
              <w:rPr>
                <w:rFonts w:eastAsia="宋体" w:hint="eastAsia"/>
                <w:bCs/>
                <w:sz w:val="20"/>
                <w:szCs w:val="20"/>
              </w:rPr>
              <w:t xml:space="preserve">       </w:t>
            </w:r>
            <w:r w:rsidRPr="00CB6B43">
              <w:rPr>
                <w:rFonts w:eastAsia="宋体"/>
                <w:bCs/>
                <w:sz w:val="20"/>
                <w:szCs w:val="20"/>
              </w:rPr>
              <w:t>tomography (Cryo-ET)”</w:t>
            </w:r>
          </w:p>
        </w:tc>
        <w:tc>
          <w:tcPr>
            <w:tcW w:w="1843" w:type="dxa"/>
            <w:vAlign w:val="bottom"/>
          </w:tcPr>
          <w:p w14:paraId="5BD0D716" w14:textId="77777777" w:rsidR="009C0A5E" w:rsidRPr="00CB6B43" w:rsidRDefault="00000000">
            <w:pPr>
              <w:spacing w:line="360" w:lineRule="auto"/>
              <w:ind w:rightChars="-50" w:right="-110"/>
              <w:jc w:val="right"/>
              <w:rPr>
                <w:b/>
                <w:bCs/>
                <w:sz w:val="20"/>
                <w:szCs w:val="20"/>
              </w:rPr>
            </w:pPr>
            <w:r w:rsidRPr="00CB6B43">
              <w:rPr>
                <w:rFonts w:hint="eastAsia"/>
                <w:b/>
                <w:bCs/>
                <w:sz w:val="20"/>
                <w:szCs w:val="20"/>
              </w:rPr>
              <w:t>03/2025</w:t>
            </w:r>
          </w:p>
        </w:tc>
      </w:tr>
      <w:tr w:rsidR="009C0A5E" w:rsidRPr="00CB6B43" w14:paraId="1253912E" w14:textId="77777777">
        <w:tc>
          <w:tcPr>
            <w:tcW w:w="9065" w:type="dxa"/>
            <w:vAlign w:val="bottom"/>
          </w:tcPr>
          <w:p w14:paraId="28DEF89C" w14:textId="77777777" w:rsidR="009C0A5E" w:rsidRPr="00CB6B43" w:rsidRDefault="00000000">
            <w:pPr>
              <w:pStyle w:val="af3"/>
              <w:widowControl w:val="0"/>
              <w:numPr>
                <w:ilvl w:val="0"/>
                <w:numId w:val="1"/>
              </w:numPr>
              <w:autoSpaceDE w:val="0"/>
              <w:autoSpaceDN w:val="0"/>
              <w:adjustRightInd w:val="0"/>
              <w:spacing w:line="360" w:lineRule="auto"/>
              <w:ind w:left="597"/>
              <w:rPr>
                <w:rFonts w:eastAsia="宋体"/>
                <w:bCs/>
                <w:sz w:val="20"/>
                <w:szCs w:val="20"/>
              </w:rPr>
            </w:pPr>
            <w:r w:rsidRPr="00CB6B43">
              <w:rPr>
                <w:rFonts w:eastAsia="宋体"/>
                <w:bCs/>
                <w:sz w:val="20"/>
                <w:szCs w:val="20"/>
              </w:rPr>
              <w:t>Poster: “From the desert to the lab: studying the applications of bacteria from arid regions”</w:t>
            </w:r>
          </w:p>
        </w:tc>
        <w:tc>
          <w:tcPr>
            <w:tcW w:w="1843" w:type="dxa"/>
            <w:vAlign w:val="bottom"/>
          </w:tcPr>
          <w:p w14:paraId="0CF446FA" w14:textId="77777777" w:rsidR="009C0A5E" w:rsidRPr="00CB6B43" w:rsidRDefault="00000000">
            <w:pPr>
              <w:spacing w:line="360" w:lineRule="auto"/>
              <w:ind w:rightChars="-50" w:right="-110"/>
              <w:jc w:val="right"/>
              <w:rPr>
                <w:b/>
                <w:bCs/>
                <w:sz w:val="20"/>
                <w:szCs w:val="20"/>
              </w:rPr>
            </w:pPr>
            <w:r w:rsidRPr="00CB6B43">
              <w:rPr>
                <w:rFonts w:hint="eastAsia"/>
                <w:b/>
                <w:bCs/>
                <w:sz w:val="20"/>
                <w:szCs w:val="20"/>
              </w:rPr>
              <w:t>06/2023</w:t>
            </w:r>
          </w:p>
        </w:tc>
      </w:tr>
      <w:tr w:rsidR="009C0A5E" w:rsidRPr="00CB6B43" w14:paraId="2A4CEF41" w14:textId="77777777">
        <w:tc>
          <w:tcPr>
            <w:tcW w:w="9065" w:type="dxa"/>
            <w:vAlign w:val="bottom"/>
          </w:tcPr>
          <w:p w14:paraId="5E1CD1D2" w14:textId="77777777" w:rsidR="009C0A5E" w:rsidRPr="00CB6B43" w:rsidRDefault="00000000">
            <w:pPr>
              <w:pStyle w:val="af3"/>
              <w:widowControl w:val="0"/>
              <w:numPr>
                <w:ilvl w:val="0"/>
                <w:numId w:val="1"/>
              </w:numPr>
              <w:autoSpaceDE w:val="0"/>
              <w:autoSpaceDN w:val="0"/>
              <w:adjustRightInd w:val="0"/>
              <w:spacing w:line="360" w:lineRule="auto"/>
              <w:ind w:left="597"/>
              <w:rPr>
                <w:rFonts w:eastAsia="宋体"/>
                <w:bCs/>
                <w:sz w:val="20"/>
                <w:szCs w:val="20"/>
              </w:rPr>
            </w:pPr>
            <w:r w:rsidRPr="00CB6B43">
              <w:rPr>
                <w:rFonts w:eastAsia="宋体"/>
                <w:bCs/>
                <w:sz w:val="20"/>
                <w:szCs w:val="20"/>
              </w:rPr>
              <w:t>First Industry Research Competition held by GTIIT ACE club</w:t>
            </w:r>
          </w:p>
        </w:tc>
        <w:tc>
          <w:tcPr>
            <w:tcW w:w="1843" w:type="dxa"/>
            <w:vAlign w:val="bottom"/>
          </w:tcPr>
          <w:p w14:paraId="12AA4CB1" w14:textId="530C806F" w:rsidR="009C0A5E" w:rsidRPr="00CB6B43" w:rsidRDefault="00000000">
            <w:pPr>
              <w:spacing w:line="360" w:lineRule="auto"/>
              <w:ind w:rightChars="-50" w:right="-110"/>
              <w:jc w:val="right"/>
              <w:rPr>
                <w:b/>
                <w:bCs/>
                <w:sz w:val="20"/>
                <w:szCs w:val="20"/>
              </w:rPr>
            </w:pPr>
            <w:r w:rsidRPr="00CB6B43">
              <w:rPr>
                <w:rFonts w:hint="eastAsia"/>
                <w:b/>
                <w:bCs/>
                <w:sz w:val="20"/>
                <w:szCs w:val="20"/>
              </w:rPr>
              <w:t>03/2023</w:t>
            </w:r>
          </w:p>
        </w:tc>
      </w:tr>
    </w:tbl>
    <w:p w14:paraId="33E7CE6A" w14:textId="77777777" w:rsidR="009C0A5E" w:rsidRPr="00CB6B43" w:rsidRDefault="00000000">
      <w:pPr>
        <w:spacing w:line="360" w:lineRule="auto"/>
        <w:rPr>
          <w:b/>
          <w:bCs/>
          <w:sz w:val="24"/>
          <w:szCs w:val="24"/>
        </w:rPr>
      </w:pPr>
      <w:r w:rsidRPr="00CB6B43">
        <w:rPr>
          <w:b/>
          <w:bCs/>
          <w:sz w:val="24"/>
          <w:szCs w:val="24"/>
        </w:rPr>
        <w:t>LEADERSHIP</w:t>
      </w:r>
    </w:p>
    <w:tbl>
      <w:tblPr>
        <w:tblStyle w:val="af"/>
        <w:tblW w:w="1133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925"/>
        <w:gridCol w:w="2410"/>
      </w:tblGrid>
      <w:tr w:rsidR="009C0A5E" w:rsidRPr="00CB6B43" w14:paraId="3FBA0F0B" w14:textId="77777777">
        <w:tc>
          <w:tcPr>
            <w:tcW w:w="8925" w:type="dxa"/>
            <w:vAlign w:val="center"/>
          </w:tcPr>
          <w:p w14:paraId="5EE68263" w14:textId="77777777" w:rsidR="009C0A5E" w:rsidRPr="00CB6B43" w:rsidRDefault="00000000">
            <w:pPr>
              <w:pStyle w:val="af9"/>
              <w:spacing w:line="360" w:lineRule="auto"/>
              <w:ind w:leftChars="-53" w:left="-117" w:rightChars="-370" w:right="-814" w:firstLineChars="71" w:firstLine="143"/>
              <w:rPr>
                <w:rFonts w:ascii="Times New Roman" w:hAnsi="Times New Roman" w:cs="Times New Roman"/>
                <w:sz w:val="20"/>
                <w:szCs w:val="20"/>
              </w:rPr>
            </w:pPr>
            <w:r w:rsidRPr="00CB6B43">
              <w:rPr>
                <w:rFonts w:ascii="Times New Roman" w:hAnsi="Times New Roman" w:cs="Times New Roman"/>
                <w:sz w:val="20"/>
                <w:szCs w:val="20"/>
              </w:rPr>
              <w:t>League Branch Secretary</w:t>
            </w:r>
          </w:p>
        </w:tc>
        <w:tc>
          <w:tcPr>
            <w:tcW w:w="2410" w:type="dxa"/>
            <w:vAlign w:val="center"/>
          </w:tcPr>
          <w:p w14:paraId="4C24ED8D" w14:textId="77777777" w:rsidR="009C0A5E" w:rsidRPr="00CB6B43" w:rsidRDefault="00000000">
            <w:pPr>
              <w:pStyle w:val="afb"/>
              <w:wordWrap w:val="0"/>
              <w:spacing w:line="360" w:lineRule="auto"/>
              <w:ind w:right="305"/>
              <w:rPr>
                <w:rFonts w:ascii="Times New Roman" w:hAnsi="Times New Roman" w:cs="Times New Roman"/>
                <w:sz w:val="20"/>
                <w:szCs w:val="20"/>
              </w:rPr>
            </w:pPr>
            <w:r w:rsidRPr="00CB6B43">
              <w:rPr>
                <w:rFonts w:ascii="Times New Roman" w:eastAsia="宋体" w:hAnsi="Times New Roman" w:cs="Times New Roman" w:hint="eastAsia"/>
                <w:sz w:val="20"/>
                <w:szCs w:val="20"/>
              </w:rPr>
              <w:t>Shantou</w:t>
            </w:r>
            <w:r w:rsidRPr="00CB6B43">
              <w:rPr>
                <w:rFonts w:ascii="Times New Roman" w:eastAsiaTheme="minorEastAsia" w:hAnsi="Times New Roman" w:cs="Times New Roman" w:hint="eastAsia"/>
                <w:sz w:val="20"/>
                <w:szCs w:val="20"/>
              </w:rPr>
              <w:t>, China</w:t>
            </w:r>
          </w:p>
        </w:tc>
      </w:tr>
      <w:tr w:rsidR="009C0A5E" w:rsidRPr="00CB6B43" w14:paraId="60B32253" w14:textId="77777777">
        <w:tc>
          <w:tcPr>
            <w:tcW w:w="8925" w:type="dxa"/>
            <w:vAlign w:val="center"/>
          </w:tcPr>
          <w:p w14:paraId="5FDFE426" w14:textId="77777777" w:rsidR="009C0A5E" w:rsidRPr="00CB6B43" w:rsidRDefault="00000000">
            <w:pPr>
              <w:pStyle w:val="af9"/>
              <w:spacing w:line="360" w:lineRule="auto"/>
              <w:ind w:leftChars="-53" w:left="-117" w:rightChars="-370" w:right="-814" w:firstLineChars="71" w:firstLine="143"/>
              <w:rPr>
                <w:rFonts w:ascii="Times New Roman" w:hAnsi="Times New Roman" w:cs="Times New Roman"/>
                <w:sz w:val="20"/>
                <w:szCs w:val="20"/>
              </w:rPr>
            </w:pPr>
            <w:r w:rsidRPr="00CB6B43">
              <w:rPr>
                <w:rFonts w:ascii="Times New Roman" w:eastAsia="宋体" w:hAnsi="Times New Roman" w:cs="Times New Roman"/>
                <w:sz w:val="20"/>
                <w:szCs w:val="20"/>
              </w:rPr>
              <w:t>First Youth League Branch</w:t>
            </w:r>
          </w:p>
        </w:tc>
        <w:tc>
          <w:tcPr>
            <w:tcW w:w="2410" w:type="dxa"/>
            <w:vAlign w:val="center"/>
          </w:tcPr>
          <w:p w14:paraId="2B4066C3" w14:textId="77777777" w:rsidR="009C0A5E" w:rsidRPr="00CB6B43" w:rsidRDefault="00000000">
            <w:pPr>
              <w:pStyle w:val="afb"/>
              <w:spacing w:line="360" w:lineRule="auto"/>
              <w:ind w:right="305"/>
              <w:rPr>
                <w:rFonts w:ascii="Times New Roman" w:hAnsi="Times New Roman" w:cs="Times New Roman"/>
                <w:sz w:val="20"/>
                <w:szCs w:val="20"/>
              </w:rPr>
            </w:pPr>
            <w:r w:rsidRPr="00CB6B43">
              <w:rPr>
                <w:rFonts w:ascii="Times New Roman" w:eastAsiaTheme="minorEastAsia" w:hAnsi="Times New Roman" w:cs="Times New Roman" w:hint="eastAsia"/>
                <w:sz w:val="20"/>
                <w:szCs w:val="20"/>
              </w:rPr>
              <w:t>10/2022-present</w:t>
            </w:r>
          </w:p>
        </w:tc>
      </w:tr>
    </w:tbl>
    <w:p w14:paraId="3EE998E7" w14:textId="77777777" w:rsidR="009C0A5E" w:rsidRPr="00CB6B43" w:rsidRDefault="00000000">
      <w:pPr>
        <w:pStyle w:val="af3"/>
        <w:widowControl w:val="0"/>
        <w:numPr>
          <w:ilvl w:val="0"/>
          <w:numId w:val="1"/>
        </w:numPr>
        <w:autoSpaceDE w:val="0"/>
        <w:autoSpaceDN w:val="0"/>
        <w:adjustRightInd w:val="0"/>
        <w:spacing w:line="360" w:lineRule="auto"/>
        <w:jc w:val="both"/>
        <w:rPr>
          <w:rFonts w:eastAsia="PingFang SC"/>
          <w:sz w:val="20"/>
          <w:szCs w:val="20"/>
        </w:rPr>
      </w:pPr>
      <w:r w:rsidRPr="00CB6B43">
        <w:rPr>
          <w:rFonts w:eastAsia="PingFang SC"/>
          <w:sz w:val="20"/>
          <w:szCs w:val="20"/>
        </w:rPr>
        <w:t>Organi</w:t>
      </w:r>
      <w:r w:rsidRPr="00CB6B43">
        <w:rPr>
          <w:rFonts w:eastAsia="PingFang SC" w:hint="eastAsia"/>
          <w:sz w:val="20"/>
          <w:szCs w:val="20"/>
        </w:rPr>
        <w:t>s</w:t>
      </w:r>
      <w:r w:rsidRPr="00CB6B43">
        <w:rPr>
          <w:rFonts w:eastAsia="PingFang SC"/>
          <w:sz w:val="20"/>
          <w:szCs w:val="20"/>
        </w:rPr>
        <w:t>e</w:t>
      </w:r>
      <w:r w:rsidRPr="00CB6B43">
        <w:rPr>
          <w:rFonts w:eastAsia="PingFang SC" w:hint="eastAsia"/>
          <w:sz w:val="20"/>
          <w:szCs w:val="20"/>
        </w:rPr>
        <w:t>d</w:t>
      </w:r>
      <w:r w:rsidRPr="00CB6B43">
        <w:rPr>
          <w:rFonts w:eastAsia="PingFang SC"/>
          <w:sz w:val="20"/>
          <w:szCs w:val="20"/>
        </w:rPr>
        <w:t xml:space="preserve"> league branch meetings</w:t>
      </w:r>
      <w:r w:rsidRPr="00CB6B43">
        <w:rPr>
          <w:rFonts w:eastAsia="PingFang SC" w:hint="eastAsia"/>
          <w:sz w:val="20"/>
          <w:szCs w:val="20"/>
        </w:rPr>
        <w:t>.</w:t>
      </w:r>
    </w:p>
    <w:p w14:paraId="1C2A4F89" w14:textId="77777777" w:rsidR="009C0A5E" w:rsidRPr="00CB6B43" w:rsidRDefault="00000000">
      <w:pPr>
        <w:pStyle w:val="af3"/>
        <w:widowControl w:val="0"/>
        <w:numPr>
          <w:ilvl w:val="0"/>
          <w:numId w:val="1"/>
        </w:numPr>
        <w:autoSpaceDE w:val="0"/>
        <w:autoSpaceDN w:val="0"/>
        <w:adjustRightInd w:val="0"/>
        <w:spacing w:line="360" w:lineRule="auto"/>
        <w:jc w:val="both"/>
        <w:rPr>
          <w:rFonts w:eastAsia="PingFang SC"/>
          <w:sz w:val="20"/>
          <w:szCs w:val="20"/>
        </w:rPr>
      </w:pPr>
      <w:r w:rsidRPr="00CB6B43">
        <w:rPr>
          <w:rFonts w:eastAsia="PingFang SC"/>
          <w:sz w:val="20"/>
          <w:szCs w:val="20"/>
        </w:rPr>
        <w:t>Wr</w:t>
      </w:r>
      <w:r w:rsidRPr="00CB6B43">
        <w:rPr>
          <w:rFonts w:eastAsia="PingFang SC" w:hint="eastAsia"/>
          <w:sz w:val="20"/>
          <w:szCs w:val="20"/>
        </w:rPr>
        <w:t>ote</w:t>
      </w:r>
      <w:r w:rsidRPr="00CB6B43">
        <w:rPr>
          <w:rFonts w:eastAsia="PingFang SC"/>
          <w:sz w:val="20"/>
          <w:szCs w:val="20"/>
        </w:rPr>
        <w:t xml:space="preserve"> and organi</w:t>
      </w:r>
      <w:r w:rsidRPr="00CB6B43">
        <w:rPr>
          <w:rFonts w:eastAsia="PingFang SC" w:hint="eastAsia"/>
          <w:sz w:val="20"/>
          <w:szCs w:val="20"/>
        </w:rPr>
        <w:t>s</w:t>
      </w:r>
      <w:r w:rsidRPr="00CB6B43">
        <w:rPr>
          <w:rFonts w:eastAsia="PingFang SC"/>
          <w:sz w:val="20"/>
          <w:szCs w:val="20"/>
        </w:rPr>
        <w:t>e</w:t>
      </w:r>
      <w:r w:rsidRPr="00CB6B43">
        <w:rPr>
          <w:rFonts w:eastAsia="PingFang SC" w:hint="eastAsia"/>
          <w:sz w:val="20"/>
          <w:szCs w:val="20"/>
        </w:rPr>
        <w:t>d</w:t>
      </w:r>
      <w:r w:rsidRPr="00CB6B43">
        <w:rPr>
          <w:rFonts w:eastAsia="PingFang SC"/>
          <w:sz w:val="20"/>
          <w:szCs w:val="20"/>
        </w:rPr>
        <w:t xml:space="preserve"> meeting minutes and distribute</w:t>
      </w:r>
      <w:r w:rsidRPr="00CB6B43">
        <w:rPr>
          <w:rFonts w:eastAsia="PingFang SC" w:hint="eastAsia"/>
          <w:sz w:val="20"/>
          <w:szCs w:val="20"/>
        </w:rPr>
        <w:t>d</w:t>
      </w:r>
      <w:r w:rsidRPr="00CB6B43">
        <w:rPr>
          <w:rFonts w:eastAsia="PingFang SC"/>
          <w:sz w:val="20"/>
          <w:szCs w:val="20"/>
        </w:rPr>
        <w:t xml:space="preserve"> them to members and constituents</w:t>
      </w:r>
      <w:r w:rsidRPr="00CB6B43">
        <w:rPr>
          <w:rFonts w:eastAsia="PingFang SC" w:hint="eastAsia"/>
          <w:sz w:val="20"/>
          <w:szCs w:val="20"/>
        </w:rPr>
        <w:t>.</w:t>
      </w:r>
    </w:p>
    <w:p w14:paraId="06678269" w14:textId="77777777" w:rsidR="009C0A5E" w:rsidRPr="00CB6B43" w:rsidRDefault="00000000">
      <w:pPr>
        <w:pStyle w:val="af3"/>
        <w:widowControl w:val="0"/>
        <w:numPr>
          <w:ilvl w:val="0"/>
          <w:numId w:val="1"/>
        </w:numPr>
        <w:autoSpaceDE w:val="0"/>
        <w:autoSpaceDN w:val="0"/>
        <w:adjustRightInd w:val="0"/>
        <w:spacing w:line="360" w:lineRule="auto"/>
        <w:jc w:val="both"/>
        <w:rPr>
          <w:rFonts w:eastAsia="PingFang SC"/>
          <w:sz w:val="20"/>
          <w:szCs w:val="20"/>
        </w:rPr>
      </w:pPr>
      <w:r w:rsidRPr="00CB6B43">
        <w:rPr>
          <w:rFonts w:eastAsia="PingFang SC"/>
          <w:sz w:val="20"/>
          <w:szCs w:val="20"/>
        </w:rPr>
        <w:t>Enhance</w:t>
      </w:r>
      <w:r w:rsidRPr="00CB6B43">
        <w:rPr>
          <w:rFonts w:eastAsia="PingFang SC" w:hint="eastAsia"/>
          <w:sz w:val="20"/>
          <w:szCs w:val="20"/>
        </w:rPr>
        <w:t>d</w:t>
      </w:r>
      <w:r w:rsidRPr="00CB6B43">
        <w:rPr>
          <w:rFonts w:eastAsia="PingFang SC"/>
          <w:sz w:val="20"/>
          <w:szCs w:val="20"/>
        </w:rPr>
        <w:t xml:space="preserve"> the activity of the branch members, shorten</w:t>
      </w:r>
      <w:r w:rsidRPr="00CB6B43">
        <w:rPr>
          <w:rFonts w:eastAsia="PingFang SC" w:hint="eastAsia"/>
          <w:sz w:val="20"/>
          <w:szCs w:val="20"/>
        </w:rPr>
        <w:t>ed</w:t>
      </w:r>
      <w:r w:rsidRPr="00CB6B43">
        <w:rPr>
          <w:rFonts w:eastAsia="PingFang SC"/>
          <w:sz w:val="20"/>
          <w:szCs w:val="20"/>
        </w:rPr>
        <w:t xml:space="preserve"> the distance between the members, and helped the school communicate well with the branch members.</w:t>
      </w:r>
    </w:p>
    <w:p w14:paraId="6AE474F7" w14:textId="77777777" w:rsidR="009C0A5E" w:rsidRPr="00CB6B43" w:rsidRDefault="00000000">
      <w:pPr>
        <w:widowControl w:val="0"/>
        <w:autoSpaceDE w:val="0"/>
        <w:autoSpaceDN w:val="0"/>
        <w:adjustRightInd w:val="0"/>
        <w:spacing w:line="360" w:lineRule="auto"/>
        <w:jc w:val="both"/>
        <w:rPr>
          <w:rFonts w:eastAsia="PingFang SC"/>
          <w:b/>
          <w:bCs/>
          <w:sz w:val="20"/>
          <w:szCs w:val="20"/>
        </w:rPr>
      </w:pPr>
      <w:r w:rsidRPr="00CB6B43">
        <w:rPr>
          <w:rFonts w:eastAsia="PingFang SC"/>
          <w:b/>
          <w:bCs/>
          <w:sz w:val="20"/>
          <w:szCs w:val="20"/>
        </w:rPr>
        <w:t>Peer Tutor</w:t>
      </w:r>
    </w:p>
    <w:p w14:paraId="4C51DAB9" w14:textId="77777777" w:rsidR="009C0A5E" w:rsidRPr="00CB6B43" w:rsidRDefault="00000000">
      <w:pPr>
        <w:pStyle w:val="af3"/>
        <w:widowControl w:val="0"/>
        <w:numPr>
          <w:ilvl w:val="0"/>
          <w:numId w:val="1"/>
        </w:numPr>
        <w:autoSpaceDE w:val="0"/>
        <w:autoSpaceDN w:val="0"/>
        <w:adjustRightInd w:val="0"/>
        <w:spacing w:line="360" w:lineRule="auto"/>
        <w:jc w:val="both"/>
        <w:rPr>
          <w:rFonts w:eastAsia="PingFang SC"/>
          <w:sz w:val="20"/>
          <w:szCs w:val="20"/>
        </w:rPr>
      </w:pPr>
      <w:r w:rsidRPr="00CB6B43">
        <w:rPr>
          <w:rFonts w:eastAsia="PingFang SC" w:cstheme="minorHAnsi"/>
          <w:sz w:val="20"/>
          <w:szCs w:val="20"/>
        </w:rPr>
        <w:t>Provided academic support to peer students</w:t>
      </w:r>
      <w:r w:rsidRPr="00CB6B43">
        <w:rPr>
          <w:rFonts w:eastAsia="PingFang SC" w:cstheme="minorHAnsi" w:hint="eastAsia"/>
          <w:sz w:val="20"/>
          <w:szCs w:val="20"/>
        </w:rPr>
        <w:t>.</w:t>
      </w:r>
    </w:p>
    <w:p w14:paraId="62460128" w14:textId="77777777" w:rsidR="009C0A5E" w:rsidRPr="00CB6B43" w:rsidRDefault="00000000">
      <w:pPr>
        <w:pStyle w:val="af3"/>
        <w:widowControl w:val="0"/>
        <w:numPr>
          <w:ilvl w:val="0"/>
          <w:numId w:val="1"/>
        </w:numPr>
        <w:autoSpaceDE w:val="0"/>
        <w:autoSpaceDN w:val="0"/>
        <w:adjustRightInd w:val="0"/>
        <w:spacing w:line="360" w:lineRule="auto"/>
        <w:jc w:val="both"/>
        <w:rPr>
          <w:rFonts w:eastAsia="PingFang SC"/>
          <w:sz w:val="20"/>
          <w:szCs w:val="20"/>
        </w:rPr>
      </w:pPr>
      <w:r w:rsidRPr="00CB6B43">
        <w:rPr>
          <w:sz w:val="20"/>
          <w:szCs w:val="20"/>
        </w:rPr>
        <w:t>Offered personalized tutoring sessions tailored to individual learning styles and academic needs</w:t>
      </w:r>
      <w:r w:rsidRPr="00CB6B43">
        <w:rPr>
          <w:rFonts w:hint="eastAsia"/>
          <w:sz w:val="20"/>
          <w:szCs w:val="20"/>
        </w:rPr>
        <w:t>.</w:t>
      </w:r>
    </w:p>
    <w:tbl>
      <w:tblPr>
        <w:tblStyle w:val="af"/>
        <w:tblW w:w="10766" w:type="dxa"/>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65"/>
        <w:gridCol w:w="1701"/>
      </w:tblGrid>
      <w:tr w:rsidR="009C0A5E" w:rsidRPr="00CB6B43" w14:paraId="626A0EDE" w14:textId="77777777">
        <w:tc>
          <w:tcPr>
            <w:tcW w:w="10766" w:type="dxa"/>
            <w:gridSpan w:val="2"/>
            <w:vAlign w:val="bottom"/>
          </w:tcPr>
          <w:p w14:paraId="3BFC8AEA" w14:textId="77777777" w:rsidR="009C0A5E" w:rsidRPr="00CB6B43" w:rsidRDefault="00000000">
            <w:pPr>
              <w:spacing w:line="360" w:lineRule="auto"/>
              <w:ind w:rightChars="-50" w:right="-110"/>
              <w:rPr>
                <w:b/>
                <w:bCs/>
                <w:sz w:val="20"/>
                <w:szCs w:val="20"/>
              </w:rPr>
            </w:pPr>
            <w:r w:rsidRPr="00CB6B43">
              <w:rPr>
                <w:rFonts w:hint="eastAsia"/>
                <w:b/>
                <w:bCs/>
                <w:sz w:val="24"/>
                <w:szCs w:val="24"/>
              </w:rPr>
              <w:t>OTHER INFORMATION</w:t>
            </w:r>
          </w:p>
        </w:tc>
      </w:tr>
      <w:tr w:rsidR="009C0A5E" w:rsidRPr="00CB6B43" w14:paraId="72E9AEDA" w14:textId="77777777">
        <w:tc>
          <w:tcPr>
            <w:tcW w:w="9065" w:type="dxa"/>
            <w:vAlign w:val="bottom"/>
          </w:tcPr>
          <w:p w14:paraId="623260E7" w14:textId="77777777" w:rsidR="009C0A5E" w:rsidRPr="00CB6B43" w:rsidRDefault="00000000">
            <w:pPr>
              <w:pStyle w:val="af3"/>
              <w:widowControl w:val="0"/>
              <w:numPr>
                <w:ilvl w:val="0"/>
                <w:numId w:val="1"/>
              </w:numPr>
              <w:autoSpaceDE w:val="0"/>
              <w:autoSpaceDN w:val="0"/>
              <w:adjustRightInd w:val="0"/>
              <w:spacing w:line="360" w:lineRule="auto"/>
              <w:ind w:left="597"/>
              <w:rPr>
                <w:rFonts w:eastAsia="宋体"/>
                <w:bCs/>
                <w:sz w:val="20"/>
                <w:szCs w:val="20"/>
              </w:rPr>
            </w:pPr>
            <w:r w:rsidRPr="00CB6B43">
              <w:rPr>
                <w:rFonts w:eastAsia="宋体"/>
                <w:bCs/>
                <w:sz w:val="20"/>
                <w:szCs w:val="20"/>
              </w:rPr>
              <w:t>Participant, 2nd International Symposium on Food and Biotechnology Engineering</w:t>
            </w:r>
          </w:p>
        </w:tc>
        <w:tc>
          <w:tcPr>
            <w:tcW w:w="1701" w:type="dxa"/>
            <w:vAlign w:val="bottom"/>
          </w:tcPr>
          <w:p w14:paraId="41BC6133" w14:textId="77777777" w:rsidR="009C0A5E" w:rsidRPr="00CB6B43" w:rsidRDefault="00000000">
            <w:pPr>
              <w:spacing w:line="360" w:lineRule="auto"/>
              <w:ind w:rightChars="-50" w:right="-110"/>
              <w:jc w:val="right"/>
              <w:rPr>
                <w:b/>
                <w:bCs/>
                <w:sz w:val="20"/>
                <w:szCs w:val="20"/>
              </w:rPr>
            </w:pPr>
            <w:r w:rsidRPr="00CB6B43">
              <w:rPr>
                <w:rFonts w:hint="eastAsia"/>
                <w:b/>
                <w:bCs/>
                <w:sz w:val="20"/>
                <w:szCs w:val="20"/>
              </w:rPr>
              <w:t>06/2024</w:t>
            </w:r>
          </w:p>
        </w:tc>
      </w:tr>
      <w:tr w:rsidR="009C0A5E" w:rsidRPr="00CB6B43" w14:paraId="65D21DDA" w14:textId="77777777">
        <w:tc>
          <w:tcPr>
            <w:tcW w:w="9065" w:type="dxa"/>
            <w:vAlign w:val="bottom"/>
          </w:tcPr>
          <w:p w14:paraId="5ED3E271" w14:textId="77777777" w:rsidR="009C0A5E" w:rsidRPr="00CB6B43" w:rsidRDefault="00000000">
            <w:pPr>
              <w:pStyle w:val="af3"/>
              <w:widowControl w:val="0"/>
              <w:numPr>
                <w:ilvl w:val="0"/>
                <w:numId w:val="1"/>
              </w:numPr>
              <w:autoSpaceDE w:val="0"/>
              <w:autoSpaceDN w:val="0"/>
              <w:adjustRightInd w:val="0"/>
              <w:spacing w:line="360" w:lineRule="auto"/>
              <w:ind w:left="597"/>
              <w:rPr>
                <w:rFonts w:eastAsia="宋体"/>
                <w:bCs/>
                <w:sz w:val="20"/>
                <w:szCs w:val="20"/>
              </w:rPr>
            </w:pPr>
            <w:r w:rsidRPr="00CB6B43">
              <w:rPr>
                <w:rFonts w:eastAsia="宋体"/>
                <w:bCs/>
                <w:sz w:val="20"/>
                <w:szCs w:val="20"/>
              </w:rPr>
              <w:t>Member, Regional transportation volunteers’ activity</w:t>
            </w:r>
          </w:p>
        </w:tc>
        <w:tc>
          <w:tcPr>
            <w:tcW w:w="1701" w:type="dxa"/>
            <w:vAlign w:val="bottom"/>
          </w:tcPr>
          <w:p w14:paraId="01A303B6" w14:textId="77777777" w:rsidR="009C0A5E" w:rsidRPr="00CB6B43" w:rsidRDefault="00000000">
            <w:pPr>
              <w:spacing w:line="360" w:lineRule="auto"/>
              <w:ind w:rightChars="-50" w:right="-110"/>
              <w:jc w:val="right"/>
              <w:rPr>
                <w:b/>
                <w:bCs/>
                <w:sz w:val="20"/>
                <w:szCs w:val="20"/>
              </w:rPr>
            </w:pPr>
            <w:r w:rsidRPr="00CB6B43">
              <w:rPr>
                <w:rFonts w:hint="eastAsia"/>
                <w:b/>
                <w:bCs/>
                <w:sz w:val="20"/>
                <w:szCs w:val="20"/>
              </w:rPr>
              <w:t>03/2024</w:t>
            </w:r>
          </w:p>
        </w:tc>
      </w:tr>
      <w:tr w:rsidR="009C0A5E" w14:paraId="4BAAE2ED" w14:textId="77777777">
        <w:tc>
          <w:tcPr>
            <w:tcW w:w="9065" w:type="dxa"/>
            <w:vAlign w:val="bottom"/>
          </w:tcPr>
          <w:p w14:paraId="07018EAD" w14:textId="77777777" w:rsidR="009C0A5E" w:rsidRPr="00CB6B43" w:rsidRDefault="00000000">
            <w:pPr>
              <w:pStyle w:val="af3"/>
              <w:widowControl w:val="0"/>
              <w:numPr>
                <w:ilvl w:val="0"/>
                <w:numId w:val="1"/>
              </w:numPr>
              <w:autoSpaceDE w:val="0"/>
              <w:autoSpaceDN w:val="0"/>
              <w:adjustRightInd w:val="0"/>
              <w:spacing w:line="360" w:lineRule="auto"/>
              <w:ind w:left="597"/>
              <w:rPr>
                <w:rFonts w:eastAsia="宋体"/>
                <w:bCs/>
                <w:sz w:val="20"/>
                <w:szCs w:val="20"/>
              </w:rPr>
            </w:pPr>
            <w:r w:rsidRPr="00CB6B43">
              <w:rPr>
                <w:rFonts w:eastAsia="宋体"/>
                <w:bCs/>
                <w:sz w:val="20"/>
                <w:szCs w:val="20"/>
              </w:rPr>
              <w:t>Member, Campus recruits’ volunteers for freshman activity</w:t>
            </w:r>
          </w:p>
        </w:tc>
        <w:tc>
          <w:tcPr>
            <w:tcW w:w="1701" w:type="dxa"/>
            <w:vAlign w:val="bottom"/>
          </w:tcPr>
          <w:p w14:paraId="61CB3486" w14:textId="77777777" w:rsidR="009C0A5E" w:rsidRDefault="00000000">
            <w:pPr>
              <w:spacing w:line="360" w:lineRule="auto"/>
              <w:ind w:rightChars="-50" w:right="-110"/>
              <w:jc w:val="right"/>
              <w:rPr>
                <w:b/>
                <w:bCs/>
                <w:sz w:val="20"/>
                <w:szCs w:val="20"/>
              </w:rPr>
            </w:pPr>
            <w:r w:rsidRPr="00CB6B43">
              <w:rPr>
                <w:rFonts w:hint="eastAsia"/>
                <w:b/>
                <w:bCs/>
                <w:sz w:val="20"/>
                <w:szCs w:val="20"/>
              </w:rPr>
              <w:t>10/2023</w:t>
            </w:r>
          </w:p>
        </w:tc>
      </w:tr>
    </w:tbl>
    <w:p w14:paraId="3B975CA3" w14:textId="77777777" w:rsidR="009C0A5E" w:rsidRDefault="009C0A5E">
      <w:pPr>
        <w:spacing w:line="360" w:lineRule="auto"/>
        <w:rPr>
          <w:sz w:val="21"/>
          <w:szCs w:val="21"/>
          <w:lang w:val="en-US"/>
        </w:rPr>
      </w:pPr>
    </w:p>
    <w:sectPr w:rsidR="009C0A5E">
      <w:headerReference w:type="even" r:id="rId12"/>
      <w:pgSz w:w="11900" w:h="16838"/>
      <w:pgMar w:top="397" w:right="567" w:bottom="57" w:left="567" w:header="0" w:footer="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Yaqi ZHU (999014202)" w:date="2025-05-26T10:57:00Z" w:initials="YZ">
    <w:p w14:paraId="4F81B787" w14:textId="77777777" w:rsidR="00631D2F" w:rsidRDefault="00631D2F" w:rsidP="00631D2F">
      <w:pPr>
        <w:pStyle w:val="a3"/>
      </w:pPr>
      <w:r>
        <w:rPr>
          <w:rStyle w:val="af0"/>
        </w:rPr>
        <w:annotationRef/>
      </w:r>
      <w:r>
        <w:rPr>
          <w:rFonts w:hint="eastAsia"/>
        </w:rPr>
        <w:t>请老师根据</w:t>
      </w:r>
      <w:r>
        <w:rPr>
          <w:rFonts w:hint="eastAsia"/>
        </w:rPr>
        <w:t>RP</w:t>
      </w:r>
      <w:r>
        <w:rPr>
          <w:rFonts w:hint="eastAsia"/>
        </w:rPr>
        <w:t>的</w:t>
      </w:r>
      <w:r>
        <w:rPr>
          <w:rFonts w:hint="eastAsia"/>
        </w:rPr>
        <w:t>outline</w:t>
      </w:r>
      <w:r>
        <w:rPr>
          <w:rFonts w:hint="eastAsia"/>
        </w:rPr>
        <w:t>修改</w:t>
      </w:r>
    </w:p>
  </w:comment>
  <w:comment w:id="1" w:author="Yaqi ZHU (999014202)" w:date="2025-05-26T10:56:00Z" w:initials="YZ">
    <w:p w14:paraId="21267DBB" w14:textId="4F37BC35" w:rsidR="00631D2F" w:rsidRDefault="00631D2F" w:rsidP="00631D2F">
      <w:pPr>
        <w:pStyle w:val="a3"/>
      </w:pPr>
      <w:r>
        <w:rPr>
          <w:rStyle w:val="af0"/>
        </w:rPr>
        <w:annotationRef/>
      </w:r>
      <w:r>
        <w:rPr>
          <w:rFonts w:hint="eastAsia"/>
        </w:rPr>
        <w:t>这种小标题和上一个实习经历的标题形式都不一样，麻烦老师在这里润色一下和上个实习经历的小标题一致</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81B787" w15:done="0"/>
  <w15:commentEx w15:paraId="21267D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474C6A" w16cex:dateUtc="2025-05-26T02:57:00Z"/>
  <w16cex:commentExtensible w16cex:durableId="1407A72E" w16cex:dateUtc="2025-05-26T0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81B787" w16cid:durableId="65474C6A"/>
  <w16cid:commentId w16cid:paraId="21267DBB" w16cid:durableId="1407A7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682C" w14:textId="77777777" w:rsidR="007D26E1" w:rsidRDefault="007D26E1">
      <w:r>
        <w:separator/>
      </w:r>
    </w:p>
  </w:endnote>
  <w:endnote w:type="continuationSeparator" w:id="0">
    <w:p w14:paraId="5405F16C" w14:textId="77777777" w:rsidR="007D26E1" w:rsidRDefault="007D2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PingFang SC">
    <w:altName w:val="微软雅黑"/>
    <w:charset w:val="86"/>
    <w:family w:val="swiss"/>
    <w:pitch w:val="default"/>
    <w:sig w:usb0="00000000" w:usb1="00000000" w:usb2="00000017"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A266C" w14:textId="77777777" w:rsidR="007D26E1" w:rsidRDefault="007D26E1">
      <w:r>
        <w:separator/>
      </w:r>
    </w:p>
  </w:footnote>
  <w:footnote w:type="continuationSeparator" w:id="0">
    <w:p w14:paraId="7EA5EF03" w14:textId="77777777" w:rsidR="007D26E1" w:rsidRDefault="007D2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EC15" w14:textId="77777777" w:rsidR="009C0A5E" w:rsidRDefault="00000000">
    <w:pPr>
      <w:pStyle w:val="a7"/>
    </w:pPr>
    <w:r>
      <w:rPr>
        <w:noProof/>
      </w:rPr>
      <mc:AlternateContent>
        <mc:Choice Requires="wps">
          <w:drawing>
            <wp:anchor distT="0" distB="0" distL="114300" distR="114300" simplePos="0" relativeHeight="251659264" behindDoc="1" locked="0" layoutInCell="0" allowOverlap="1" wp14:anchorId="1177F51B" wp14:editId="4202D078">
              <wp:simplePos x="0" y="0"/>
              <wp:positionH relativeFrom="margin">
                <wp:align>center</wp:align>
              </wp:positionH>
              <wp:positionV relativeFrom="margin">
                <wp:align>center</wp:align>
              </wp:positionV>
              <wp:extent cx="7510780" cy="2127885"/>
              <wp:effectExtent l="0" t="2190750" r="0" b="1844040"/>
              <wp:wrapNone/>
              <wp:docPr id="1153788038"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10780" cy="2127885"/>
                      </a:xfrm>
                      <a:prstGeom prst="rect">
                        <a:avLst/>
                      </a:prstGeom>
                    </wps:spPr>
                    <wps:txbx>
                      <w:txbxContent>
                        <w:p w14:paraId="04B3E84A" w14:textId="77777777" w:rsidR="009C0A5E" w:rsidRDefault="00000000">
                          <w:pPr>
                            <w:jc w:val="center"/>
                            <w:rPr>
                              <w:rFonts w:ascii="Malgun Gothic" w:eastAsia="Malgun Gothic" w:hAnsi="Malgun Gothic" w:hint="eastAsia"/>
                              <w:color w:val="C0C0C0"/>
                              <w:sz w:val="2"/>
                              <w:szCs w:val="2"/>
                              <w14:textFill>
                                <w14:solidFill>
                                  <w14:srgbClr w14:val="C0C0C0">
                                    <w14:alpha w14:val="50000"/>
                                  </w14:srgbClr>
                                </w14:solidFill>
                              </w14:textFill>
                            </w:rPr>
                          </w:pPr>
                          <w:r>
                            <w:rPr>
                              <w:rFonts w:ascii="Malgun Gothic" w:eastAsia="Malgun Gothic" w:hAnsi="Malgun Gothic" w:hint="eastAsia"/>
                              <w:color w:val="C0C0C0"/>
                              <w:sz w:val="2"/>
                              <w:szCs w:val="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anchor>
          </w:drawing>
        </mc:Choice>
        <mc:Fallback>
          <w:pict>
            <v:shapetype w14:anchorId="1177F51B" id="_x0000_t202" coordsize="21600,21600" o:spt="202" path="m,l,21600r21600,l21600,xe">
              <v:stroke joinstyle="miter"/>
              <v:path gradientshapeok="t" o:connecttype="rect"/>
            </v:shapetype>
            <v:shape id="文本框 1" o:spid="_x0000_s1026" type="#_x0000_t202" style="position:absolute;left:0;text-align:left;margin-left:0;margin-top:0;width:591.4pt;height:167.55pt;rotation:-45;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JHQ8wEAAMUDAAAOAAAAZHJzL2Uyb0RvYy54bWysU8GO0zAQvSPxD5bvNEml0hA1XZVdlssC&#10;K23Rnl3baQKxx4zdJv17xm62XcENkYOVjO037715Wd2MpmdHjb4DW/NilnOmrQTV2X3Nv2/v35Wc&#10;+SCsEj1YXfOT9vxm/fbNanCVnkMLvdLICMT6anA1b0NwVZZ52Woj/AyctrTZABoR6BP3mUIxELrp&#10;s3mev88GQOUQpPaeqnfnTb5O+E2jZfjWNF4H1tecuIW0Ylp3cc3WK1HtUbi2kxMN8Q8sjOgsNb1A&#10;3Ykg2AG7v6BMJxE8NGEmwWTQNJ3USQOpKfI/1Dy1wumkhczx7mKT/3+w8uvxyT0iC+NHGGmASYR3&#10;DyB/embhthV2rzeIMLRaKGpc8Es50dueHI01Vbd6DJ9URx4X0ddscL6a8OM8fOVjp93wBRRdEYcA&#10;qdvYoGEI8Vr5IY9PKpM3jBjR0E6XQVEDJqm4XBT5sqQtSXvzYr4sy0VqKaqIFgfh0IfPGgyLLzVH&#10;SkKCFccHHyK765GJamR35hnG3UhHIuUdqBORHighNfe/DgI1GXAwt0CBItUNgnmmCG4wyX7pvB2f&#10;BbqpdyDaj/1LQhKBFBXFrDDRCfWDgExPwTuKni2SBWeK0+GJ7Bk13vVuQ/bdd0nJleekhLKSBE65&#10;jmF8/Z1OXf++9W8AAAD//wMAUEsDBBQABgAIAAAAIQAgDGib2wAAAAYBAAAPAAAAZHJzL2Rvd25y&#10;ZXYueG1sTI/BTsMwEETvSPyDtUjcqJNGoCrEqRARhx7bIs5uvE0C9jrETpPy9Wy50MtIq1nNvCnW&#10;s7PihEPoPClIFwkIpNqbjhoF7/u3hxWIEDUZbT2hgjMGWJe3N4XOjZ9oi6ddbASHUMi1gjbGPpcy&#10;1C06HRa+R2Lv6AenI59DI82gJw53Vi6T5Ek63RE3tLrH1xbrr93oFJif47nPpmm/2Wyr8dt2VYUf&#10;n0rd380vzyAizvH/GS74jA4lMx38SCYIq4CHxD+9eOlqyTsOCrLsMQVZFvIav/wFAAD//wMAUEsB&#10;Ai0AFAAGAAgAAAAhALaDOJL+AAAA4QEAABMAAAAAAAAAAAAAAAAAAAAAAFtDb250ZW50X1R5cGVz&#10;XS54bWxQSwECLQAUAAYACAAAACEAOP0h/9YAAACUAQAACwAAAAAAAAAAAAAAAAAvAQAAX3JlbHMv&#10;LnJlbHNQSwECLQAUAAYACAAAACEAjFSR0PMBAADFAwAADgAAAAAAAAAAAAAAAAAuAgAAZHJzL2Uy&#10;b0RvYy54bWxQSwECLQAUAAYACAAAACEAIAxom9sAAAAGAQAADwAAAAAAAAAAAAAAAABNBAAAZHJz&#10;L2Rvd25yZXYueG1sUEsFBgAAAAAEAAQA8wAAAFUFAAAAAA==&#10;" o:allowincell="f" filled="f" stroked="f">
              <o:lock v:ext="edit" shapetype="t"/>
              <v:textbox style="mso-fit-shape-to-text:t">
                <w:txbxContent>
                  <w:p w14:paraId="04B3E84A" w14:textId="77777777" w:rsidR="009C0A5E" w:rsidRDefault="00000000">
                    <w:pPr>
                      <w:jc w:val="center"/>
                      <w:rPr>
                        <w:rFonts w:ascii="Malgun Gothic" w:eastAsia="Malgun Gothic" w:hAnsi="Malgun Gothic" w:hint="eastAsia"/>
                        <w:color w:val="C0C0C0"/>
                        <w:sz w:val="2"/>
                        <w:szCs w:val="2"/>
                        <w14:textFill>
                          <w14:solidFill>
                            <w14:srgbClr w14:val="C0C0C0">
                              <w14:alpha w14:val="50000"/>
                            </w14:srgbClr>
                          </w14:solidFill>
                        </w14:textFill>
                      </w:rPr>
                    </w:pPr>
                    <w:r>
                      <w:rPr>
                        <w:rFonts w:ascii="Malgun Gothic" w:eastAsia="Malgun Gothic" w:hAnsi="Malgun Gothic" w:hint="eastAsia"/>
                        <w:color w:val="C0C0C0"/>
                        <w:sz w:val="2"/>
                        <w:szCs w:val="2"/>
                        <w14:textFill>
                          <w14:solidFill>
                            <w14:srgbClr w14:val="C0C0C0">
                              <w14:alpha w14:val="50000"/>
                            </w14:srgbClr>
                          </w14:solidFill>
                        </w14:textFill>
                      </w:rPr>
                      <w:t>SAMPLE</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B0339"/>
    <w:multiLevelType w:val="multilevel"/>
    <w:tmpl w:val="24EB0339"/>
    <w:lvl w:ilvl="0">
      <w:start w:val="1"/>
      <w:numFmt w:val="bullet"/>
      <w:pStyle w:val="BulletPoin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7754358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qi ZHU (999014202)">
    <w15:presenceInfo w15:providerId="AD" w15:userId="S::zhu14202@gtiit.edu.cn::9a9888de-2305-4701-bce2-01466e5434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756"/>
    <w:rsid w:val="9EA5146F"/>
    <w:rsid w:val="00030449"/>
    <w:rsid w:val="000809BE"/>
    <w:rsid w:val="000F22A2"/>
    <w:rsid w:val="001157C8"/>
    <w:rsid w:val="00172EEF"/>
    <w:rsid w:val="001F46E2"/>
    <w:rsid w:val="001F6999"/>
    <w:rsid w:val="002859CC"/>
    <w:rsid w:val="00351474"/>
    <w:rsid w:val="003C454A"/>
    <w:rsid w:val="003F5721"/>
    <w:rsid w:val="004913F4"/>
    <w:rsid w:val="004E486C"/>
    <w:rsid w:val="004F7CA2"/>
    <w:rsid w:val="005241AF"/>
    <w:rsid w:val="00533B61"/>
    <w:rsid w:val="005808FB"/>
    <w:rsid w:val="00584E62"/>
    <w:rsid w:val="00591664"/>
    <w:rsid w:val="005A71E8"/>
    <w:rsid w:val="005F440D"/>
    <w:rsid w:val="00631D2F"/>
    <w:rsid w:val="006573A6"/>
    <w:rsid w:val="006D1815"/>
    <w:rsid w:val="006D285C"/>
    <w:rsid w:val="007833A1"/>
    <w:rsid w:val="007D1545"/>
    <w:rsid w:val="007D26E1"/>
    <w:rsid w:val="007F5BE0"/>
    <w:rsid w:val="00823F83"/>
    <w:rsid w:val="00835AD0"/>
    <w:rsid w:val="00843756"/>
    <w:rsid w:val="008904EF"/>
    <w:rsid w:val="008D399F"/>
    <w:rsid w:val="008E6E4F"/>
    <w:rsid w:val="00955E09"/>
    <w:rsid w:val="00967E43"/>
    <w:rsid w:val="00975EBC"/>
    <w:rsid w:val="009C0A5E"/>
    <w:rsid w:val="009D369D"/>
    <w:rsid w:val="00B0237E"/>
    <w:rsid w:val="00BA1CCD"/>
    <w:rsid w:val="00C23F29"/>
    <w:rsid w:val="00C74A9B"/>
    <w:rsid w:val="00C76959"/>
    <w:rsid w:val="00C858AF"/>
    <w:rsid w:val="00CB6B43"/>
    <w:rsid w:val="00D47055"/>
    <w:rsid w:val="00D74A79"/>
    <w:rsid w:val="00DA0661"/>
    <w:rsid w:val="00DA1185"/>
    <w:rsid w:val="00DA72CD"/>
    <w:rsid w:val="00DC10D8"/>
    <w:rsid w:val="00DF0C11"/>
    <w:rsid w:val="00E00039"/>
    <w:rsid w:val="00E357EF"/>
    <w:rsid w:val="00E54129"/>
    <w:rsid w:val="00E63470"/>
    <w:rsid w:val="00E94D3C"/>
    <w:rsid w:val="00F56057"/>
    <w:rsid w:val="00F844FB"/>
    <w:rsid w:val="00FD0999"/>
    <w:rsid w:val="37144D14"/>
    <w:rsid w:val="48AF3B76"/>
    <w:rsid w:val="4DF759C8"/>
    <w:rsid w:val="6DCB6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5AE351"/>
  <w15:docId w15:val="{6A612895-9DBA-42B2-9D8A-A22C86FF3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heme="minorEastAsia" w:hAnsi="Times New Roman" w:cs="Times New Roman"/>
      <w:sz w:val="22"/>
      <w:szCs w:val="22"/>
      <w:lang w:val="en-GB"/>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aa"/>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b">
    <w:name w:val="Title"/>
    <w:basedOn w:val="a"/>
    <w:next w:val="a"/>
    <w:link w:val="ac"/>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d">
    <w:name w:val="annotation subject"/>
    <w:basedOn w:val="a3"/>
    <w:next w:val="a3"/>
    <w:link w:val="ae"/>
    <w:uiPriority w:val="99"/>
    <w:semiHidden/>
    <w:unhideWhenUsed/>
    <w:qFormat/>
    <w:rPr>
      <w:b/>
      <w:bCs/>
    </w:rPr>
  </w:style>
  <w:style w:type="table" w:styleId="af">
    <w:name w:val="Table Grid"/>
    <w:basedOn w:val="a1"/>
    <w:uiPriority w:val="59"/>
    <w:qFormat/>
    <w:rPr>
      <w:rFonts w:ascii="Times New Roman" w:hAnsi="Times New Roman" w:cs="Times New Roman"/>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qFormat/>
    <w:rPr>
      <w:sz w:val="21"/>
      <w:szCs w:val="21"/>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lang w:val="en-GB"/>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lang w:val="en-GB"/>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lang w:val="en-GB"/>
    </w:rPr>
  </w:style>
  <w:style w:type="character" w:customStyle="1" w:styleId="40">
    <w:name w:val="标题 4 字符"/>
    <w:basedOn w:val="a0"/>
    <w:link w:val="4"/>
    <w:uiPriority w:val="9"/>
    <w:semiHidden/>
    <w:qFormat/>
    <w:rPr>
      <w:rFonts w:cstheme="majorBidi"/>
      <w:color w:val="0F4761" w:themeColor="accent1" w:themeShade="BF"/>
      <w:sz w:val="28"/>
      <w:szCs w:val="28"/>
      <w:lang w:val="en-GB"/>
    </w:rPr>
  </w:style>
  <w:style w:type="character" w:customStyle="1" w:styleId="50">
    <w:name w:val="标题 5 字符"/>
    <w:basedOn w:val="a0"/>
    <w:link w:val="5"/>
    <w:uiPriority w:val="9"/>
    <w:semiHidden/>
    <w:qFormat/>
    <w:rPr>
      <w:rFonts w:cstheme="majorBidi"/>
      <w:color w:val="0F4761" w:themeColor="accent1" w:themeShade="BF"/>
      <w:sz w:val="24"/>
      <w:szCs w:val="24"/>
      <w:lang w:val="en-GB"/>
    </w:rPr>
  </w:style>
  <w:style w:type="character" w:customStyle="1" w:styleId="60">
    <w:name w:val="标题 6 字符"/>
    <w:basedOn w:val="a0"/>
    <w:link w:val="6"/>
    <w:uiPriority w:val="9"/>
    <w:semiHidden/>
    <w:qFormat/>
    <w:rPr>
      <w:rFonts w:cstheme="majorBidi"/>
      <w:b/>
      <w:bCs/>
      <w:color w:val="0F4761" w:themeColor="accent1" w:themeShade="BF"/>
      <w:lang w:val="en-GB"/>
    </w:rPr>
  </w:style>
  <w:style w:type="character" w:customStyle="1" w:styleId="70">
    <w:name w:val="标题 7 字符"/>
    <w:basedOn w:val="a0"/>
    <w:link w:val="7"/>
    <w:uiPriority w:val="9"/>
    <w:semiHidden/>
    <w:qFormat/>
    <w:rPr>
      <w:rFonts w:cstheme="majorBidi"/>
      <w:b/>
      <w:bCs/>
      <w:color w:val="595959" w:themeColor="text1" w:themeTint="A6"/>
      <w:lang w:val="en-GB"/>
    </w:rPr>
  </w:style>
  <w:style w:type="character" w:customStyle="1" w:styleId="80">
    <w:name w:val="标题 8 字符"/>
    <w:basedOn w:val="a0"/>
    <w:link w:val="8"/>
    <w:uiPriority w:val="9"/>
    <w:semiHidden/>
    <w:qFormat/>
    <w:rPr>
      <w:rFonts w:cstheme="majorBidi"/>
      <w:color w:val="595959" w:themeColor="text1" w:themeTint="A6"/>
      <w:lang w:val="en-GB"/>
    </w:rPr>
  </w:style>
  <w:style w:type="character" w:customStyle="1" w:styleId="90">
    <w:name w:val="标题 9 字符"/>
    <w:basedOn w:val="a0"/>
    <w:link w:val="9"/>
    <w:uiPriority w:val="9"/>
    <w:semiHidden/>
    <w:qFormat/>
    <w:rPr>
      <w:rFonts w:eastAsiaTheme="majorEastAsia" w:cstheme="majorBidi"/>
      <w:color w:val="595959" w:themeColor="text1" w:themeTint="A6"/>
      <w:lang w:val="en-GB"/>
    </w:rPr>
  </w:style>
  <w:style w:type="character" w:customStyle="1" w:styleId="ac">
    <w:name w:val="标题 字符"/>
    <w:basedOn w:val="a0"/>
    <w:link w:val="ab"/>
    <w:uiPriority w:val="10"/>
    <w:qFormat/>
    <w:rPr>
      <w:rFonts w:asciiTheme="majorHAnsi" w:eastAsiaTheme="majorEastAsia" w:hAnsiTheme="majorHAnsi" w:cstheme="majorBidi"/>
      <w:spacing w:val="-10"/>
      <w:kern w:val="28"/>
      <w:sz w:val="56"/>
      <w:szCs w:val="56"/>
      <w:lang w:val="en-GB"/>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lang w:val="en-GB"/>
    </w:rPr>
  </w:style>
  <w:style w:type="paragraph" w:styleId="af1">
    <w:name w:val="Quote"/>
    <w:basedOn w:val="a"/>
    <w:next w:val="a"/>
    <w:link w:val="af2"/>
    <w:uiPriority w:val="29"/>
    <w:qFormat/>
    <w:pPr>
      <w:spacing w:before="160" w:after="160"/>
      <w:jc w:val="center"/>
    </w:pPr>
    <w:rPr>
      <w:i/>
      <w:iCs/>
      <w:color w:val="404040" w:themeColor="text1" w:themeTint="BF"/>
    </w:rPr>
  </w:style>
  <w:style w:type="character" w:customStyle="1" w:styleId="af2">
    <w:name w:val="引用 字符"/>
    <w:basedOn w:val="a0"/>
    <w:link w:val="af1"/>
    <w:uiPriority w:val="29"/>
    <w:qFormat/>
    <w:rPr>
      <w:i/>
      <w:iCs/>
      <w:color w:val="404040" w:themeColor="text1" w:themeTint="BF"/>
      <w:lang w:val="en-GB"/>
    </w:rPr>
  </w:style>
  <w:style w:type="paragraph" w:styleId="af3">
    <w:name w:val="List Paragraph"/>
    <w:basedOn w:val="a"/>
    <w:link w:val="af4"/>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5">
    <w:name w:val="Intense Quote"/>
    <w:basedOn w:val="a"/>
    <w:next w:val="a"/>
    <w:link w:val="af6"/>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6">
    <w:name w:val="明显引用 字符"/>
    <w:basedOn w:val="a0"/>
    <w:link w:val="af5"/>
    <w:uiPriority w:val="30"/>
    <w:qFormat/>
    <w:rPr>
      <w:i/>
      <w:iCs/>
      <w:color w:val="0F4761" w:themeColor="accent1" w:themeShade="BF"/>
      <w:lang w:val="en-GB"/>
    </w:rPr>
  </w:style>
  <w:style w:type="character" w:customStyle="1" w:styleId="12">
    <w:name w:val="明显参考1"/>
    <w:basedOn w:val="a0"/>
    <w:uiPriority w:val="32"/>
    <w:qFormat/>
    <w:rPr>
      <w:b/>
      <w:bCs/>
      <w:smallCaps/>
      <w:color w:val="0F4761" w:themeColor="accent1" w:themeShade="BF"/>
      <w:spacing w:val="5"/>
    </w:rPr>
  </w:style>
  <w:style w:type="character" w:customStyle="1" w:styleId="a8">
    <w:name w:val="页眉 字符"/>
    <w:basedOn w:val="a0"/>
    <w:link w:val="a7"/>
    <w:uiPriority w:val="99"/>
    <w:qFormat/>
    <w:rPr>
      <w:rFonts w:ascii="Times New Roman" w:hAnsi="Times New Roman" w:cs="Times New Roman"/>
      <w:kern w:val="0"/>
      <w:sz w:val="18"/>
      <w:szCs w:val="18"/>
      <w:lang w:val="en-GB"/>
    </w:rPr>
  </w:style>
  <w:style w:type="paragraph" w:customStyle="1" w:styleId="af7">
    <w:name w:val="大标题"/>
    <w:basedOn w:val="a"/>
    <w:link w:val="af8"/>
    <w:qFormat/>
    <w:pPr>
      <w:spacing w:beforeLines="50" w:before="120"/>
    </w:pPr>
    <w:rPr>
      <w:rFonts w:asciiTheme="minorHAnsi" w:eastAsia="Calibri" w:hAnsiTheme="minorHAnsi" w:cstheme="minorHAnsi"/>
      <w:b/>
      <w:bCs/>
      <w:sz w:val="28"/>
      <w:szCs w:val="28"/>
    </w:rPr>
  </w:style>
  <w:style w:type="paragraph" w:customStyle="1" w:styleId="af9">
    <w:name w:val="表格标题"/>
    <w:basedOn w:val="a"/>
    <w:link w:val="afa"/>
    <w:qFormat/>
    <w:pPr>
      <w:ind w:leftChars="-54" w:left="-115" w:hangingChars="2" w:hanging="4"/>
      <w:jc w:val="both"/>
    </w:pPr>
    <w:rPr>
      <w:rFonts w:asciiTheme="minorHAnsi" w:eastAsia="Calibri" w:hAnsiTheme="minorHAnsi" w:cstheme="minorHAnsi"/>
      <w:b/>
      <w:bCs/>
    </w:rPr>
  </w:style>
  <w:style w:type="character" w:customStyle="1" w:styleId="af8">
    <w:name w:val="大标题 字符"/>
    <w:basedOn w:val="a0"/>
    <w:link w:val="af7"/>
    <w:qFormat/>
    <w:rPr>
      <w:rFonts w:eastAsia="Calibri" w:cstheme="minorHAnsi"/>
      <w:b/>
      <w:bCs/>
      <w:kern w:val="0"/>
      <w:sz w:val="28"/>
      <w:szCs w:val="28"/>
      <w:lang w:val="en-GB"/>
    </w:rPr>
  </w:style>
  <w:style w:type="character" w:customStyle="1" w:styleId="afa">
    <w:name w:val="表格标题 字符"/>
    <w:basedOn w:val="a0"/>
    <w:link w:val="af9"/>
    <w:qFormat/>
    <w:rPr>
      <w:rFonts w:eastAsia="Calibri" w:cstheme="minorHAnsi"/>
      <w:b/>
      <w:bCs/>
      <w:kern w:val="0"/>
      <w:sz w:val="22"/>
      <w:lang w:val="en-GB"/>
    </w:rPr>
  </w:style>
  <w:style w:type="paragraph" w:customStyle="1" w:styleId="afb">
    <w:name w:val="表格日期"/>
    <w:basedOn w:val="a"/>
    <w:link w:val="afc"/>
    <w:qFormat/>
    <w:pPr>
      <w:jc w:val="right"/>
    </w:pPr>
    <w:rPr>
      <w:rFonts w:asciiTheme="minorHAnsi" w:eastAsia="Calibri" w:hAnsiTheme="minorHAnsi" w:cstheme="minorHAnsi"/>
      <w:b/>
      <w:bCs/>
    </w:rPr>
  </w:style>
  <w:style w:type="paragraph" w:customStyle="1" w:styleId="BulletPoint">
    <w:name w:val="正文Bullet Point"/>
    <w:basedOn w:val="af3"/>
    <w:link w:val="BulletPoint0"/>
    <w:qFormat/>
    <w:pPr>
      <w:numPr>
        <w:numId w:val="1"/>
      </w:numPr>
    </w:pPr>
    <w:rPr>
      <w:rFonts w:eastAsia="PingFang SC" w:cstheme="minorHAnsi"/>
      <w:szCs w:val="21"/>
    </w:rPr>
  </w:style>
  <w:style w:type="character" w:customStyle="1" w:styleId="afc">
    <w:name w:val="表格日期 字符"/>
    <w:basedOn w:val="a0"/>
    <w:link w:val="afb"/>
    <w:qFormat/>
    <w:rPr>
      <w:rFonts w:eastAsia="Calibri" w:cstheme="minorHAnsi"/>
      <w:b/>
      <w:bCs/>
      <w:kern w:val="0"/>
      <w:sz w:val="22"/>
      <w:lang w:val="en-GB"/>
    </w:rPr>
  </w:style>
  <w:style w:type="character" w:customStyle="1" w:styleId="af4">
    <w:name w:val="列表段落 字符"/>
    <w:basedOn w:val="a0"/>
    <w:link w:val="af3"/>
    <w:uiPriority w:val="34"/>
    <w:qFormat/>
    <w:rPr>
      <w:lang w:val="en-GB"/>
    </w:rPr>
  </w:style>
  <w:style w:type="character" w:customStyle="1" w:styleId="BulletPoint0">
    <w:name w:val="正文Bullet Point 字符"/>
    <w:basedOn w:val="af4"/>
    <w:link w:val="BulletPoint"/>
    <w:qFormat/>
    <w:rPr>
      <w:rFonts w:eastAsia="PingFang SC" w:cstheme="minorHAnsi"/>
      <w:szCs w:val="21"/>
      <w:lang w:val="en-GB"/>
    </w:rPr>
  </w:style>
  <w:style w:type="character" w:customStyle="1" w:styleId="a4">
    <w:name w:val="批注文字 字符"/>
    <w:basedOn w:val="a0"/>
    <w:link w:val="a3"/>
    <w:uiPriority w:val="99"/>
    <w:qFormat/>
    <w:rPr>
      <w:rFonts w:ascii="Times New Roman" w:hAnsi="Times New Roman" w:cs="Times New Roman"/>
      <w:kern w:val="0"/>
      <w:sz w:val="22"/>
      <w:lang w:val="en-GB"/>
    </w:rPr>
  </w:style>
  <w:style w:type="character" w:customStyle="1" w:styleId="ae">
    <w:name w:val="批注主题 字符"/>
    <w:basedOn w:val="a4"/>
    <w:link w:val="ad"/>
    <w:uiPriority w:val="99"/>
    <w:semiHidden/>
    <w:rPr>
      <w:rFonts w:ascii="Times New Roman" w:hAnsi="Times New Roman" w:cs="Times New Roman"/>
      <w:b/>
      <w:bCs/>
      <w:kern w:val="0"/>
      <w:sz w:val="22"/>
      <w:lang w:val="en-GB"/>
    </w:rPr>
  </w:style>
  <w:style w:type="character" w:customStyle="1" w:styleId="a6">
    <w:name w:val="页脚 字符"/>
    <w:basedOn w:val="a0"/>
    <w:link w:val="a5"/>
    <w:uiPriority w:val="99"/>
    <w:qFormat/>
    <w:rPr>
      <w:rFonts w:ascii="Times New Roman" w:eastAsiaTheme="minorEastAsia" w:hAnsi="Times New Roman" w:cs="Times New Roman"/>
      <w:sz w:val="18"/>
      <w:szCs w:val="18"/>
      <w:lang w:val="en-GB"/>
    </w:rPr>
  </w:style>
  <w:style w:type="paragraph" w:customStyle="1" w:styleId="13">
    <w:name w:val="修订1"/>
    <w:hidden/>
    <w:uiPriority w:val="99"/>
    <w:unhideWhenUsed/>
    <w:qFormat/>
    <w:rPr>
      <w:rFonts w:ascii="Times New Roman" w:eastAsiaTheme="minorEastAsia" w:hAnsi="Times New Roman" w:cs="Times New Roman"/>
      <w:sz w:val="22"/>
      <w:szCs w:val="22"/>
      <w:lang w:val="en-GB"/>
    </w:rPr>
  </w:style>
  <w:style w:type="paragraph" w:styleId="afd">
    <w:name w:val="Revision"/>
    <w:hidden/>
    <w:uiPriority w:val="99"/>
    <w:unhideWhenUsed/>
    <w:rsid w:val="00DF0C11"/>
    <w:rPr>
      <w:rFonts w:ascii="Times New Roman" w:eastAsiaTheme="minorEastAsia" w:hAnsi="Times New Roman" w:cs="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851</Words>
  <Characters>4854</Characters>
  <Application>Microsoft Office Word</Application>
  <DocSecurity>0</DocSecurity>
  <Lines>40</Lines>
  <Paragraphs>11</Paragraphs>
  <ScaleCrop>false</ScaleCrop>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Yaqi ZHU (999014202)</cp:lastModifiedBy>
  <cp:revision>9</cp:revision>
  <cp:lastPrinted>2025-04-11T18:34:00Z</cp:lastPrinted>
  <dcterms:created xsi:type="dcterms:W3CDTF">2025-05-06T12:33:00Z</dcterms:created>
  <dcterms:modified xsi:type="dcterms:W3CDTF">2025-05-26T02:59:00Z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F4F0F11BA750436AA8E1F3C2204A0BDA_13</vt:lpwstr>
  </property>
</Properties>
</file>